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E5" w:rsidRDefault="009D6722" w:rsidP="0091176F">
      <w:pPr>
        <w:tabs>
          <w:tab w:val="left" w:pos="2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1121410" cy="1350010"/>
                <wp:effectExtent l="0" t="1905" r="2540" b="635"/>
                <wp:wrapTight wrapText="bothSides">
                  <wp:wrapPolygon edited="0">
                    <wp:start x="-183" y="0"/>
                    <wp:lineTo x="-183" y="21448"/>
                    <wp:lineTo x="21600" y="21448"/>
                    <wp:lineTo x="21600" y="0"/>
                    <wp:lineTo x="-183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6F" w:rsidRDefault="009D67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9800" cy="1257300"/>
                                  <wp:effectExtent l="0" t="0" r="0" b="0"/>
                                  <wp:docPr id="2" name="Picture 2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.9pt;width:88.3pt;height:106.3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" stroked="f" strokeweight="0">
                <v:textbox style="mso-fit-shape-to-text:t">
                  <w:txbxContent>
                    <w:p w:rsidR="0091176F" w:rsidRDefault="009D67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9800" cy="1257300"/>
                            <wp:effectExtent l="0" t="0" r="0" b="0"/>
                            <wp:docPr id="2" name="Picture 2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Default="0091176F" w:rsidP="0091176F">
      <w:pPr>
        <w:tabs>
          <w:tab w:val="left" w:pos="2160"/>
        </w:tabs>
      </w:pPr>
    </w:p>
    <w:p w:rsidR="0091176F" w:rsidRPr="009142E5" w:rsidRDefault="0091176F" w:rsidP="0091176F">
      <w:pPr>
        <w:tabs>
          <w:tab w:val="left" w:pos="2160"/>
        </w:tabs>
        <w:jc w:val="right"/>
        <w:rPr>
          <w:rFonts w:cs="Arial"/>
          <w:bCs/>
        </w:rPr>
      </w:pPr>
    </w:p>
    <w:p w:rsidR="009142E5" w:rsidRPr="0091176F" w:rsidRDefault="009142E5" w:rsidP="005D4C4D">
      <w:pPr>
        <w:tabs>
          <w:tab w:val="left" w:pos="2160"/>
        </w:tabs>
        <w:rPr>
          <w:rFonts w:cs="Arial"/>
          <w:b/>
          <w:bCs/>
          <w:u w:val="single"/>
        </w:rPr>
      </w:pPr>
    </w:p>
    <w:p w:rsidR="009142E5" w:rsidRPr="009142E5" w:rsidRDefault="009142E5" w:rsidP="005D4C4D">
      <w:pPr>
        <w:tabs>
          <w:tab w:val="left" w:pos="2160"/>
        </w:tabs>
        <w:rPr>
          <w:rFonts w:cs="Arial"/>
          <w:bCs/>
        </w:rPr>
      </w:pPr>
    </w:p>
    <w:p w:rsidR="005D4C4D" w:rsidRDefault="005D4C4D" w:rsidP="005D4C4D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>
        <w:rPr>
          <w:rFonts w:cs="Arial"/>
          <w:b/>
          <w:bCs/>
        </w:rPr>
        <w:tab/>
      </w:r>
      <w:r w:rsidR="00A32A7B">
        <w:rPr>
          <w:rFonts w:cs="Arial"/>
          <w:b/>
          <w:bCs/>
        </w:rPr>
        <w:t>Audit and Governance Committee</w:t>
      </w:r>
    </w:p>
    <w:p w:rsidR="005D4C4D" w:rsidRDefault="005D4C4D" w:rsidP="005D4C4D">
      <w:pPr>
        <w:rPr>
          <w:rFonts w:cs="Arial"/>
          <w:b/>
          <w:bCs/>
        </w:rPr>
      </w:pPr>
    </w:p>
    <w:p w:rsidR="00E21EE8" w:rsidRDefault="005D4C4D" w:rsidP="005D4C4D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 w:rsidR="00821EB6">
        <w:rPr>
          <w:rFonts w:cs="Arial"/>
          <w:b/>
          <w:bCs/>
        </w:rPr>
        <w:t>24</w:t>
      </w:r>
      <w:r w:rsidR="005A17F5">
        <w:rPr>
          <w:rFonts w:cs="Arial"/>
          <w:b/>
          <w:bCs/>
        </w:rPr>
        <w:t xml:space="preserve"> M</w:t>
      </w:r>
      <w:r w:rsidR="000A470B">
        <w:rPr>
          <w:rFonts w:cs="Arial"/>
          <w:b/>
          <w:bCs/>
        </w:rPr>
        <w:t>a</w:t>
      </w:r>
      <w:r w:rsidR="005A17F5">
        <w:rPr>
          <w:rFonts w:cs="Arial"/>
          <w:b/>
          <w:bCs/>
        </w:rPr>
        <w:t>y</w:t>
      </w:r>
      <w:r w:rsidR="000A470B">
        <w:rPr>
          <w:rFonts w:cs="Arial"/>
          <w:b/>
          <w:bCs/>
        </w:rPr>
        <w:t xml:space="preserve"> 2016</w:t>
      </w:r>
    </w:p>
    <w:p w:rsidR="005D4C4D" w:rsidRDefault="005D4C4D" w:rsidP="005D4C4D">
      <w:pPr>
        <w:jc w:val="right"/>
        <w:rPr>
          <w:rFonts w:cs="Arial"/>
          <w:b/>
          <w:bCs/>
        </w:rPr>
      </w:pPr>
    </w:p>
    <w:p w:rsidR="005D4C4D" w:rsidRDefault="005D4C4D" w:rsidP="005D4C4D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Head of Financ</w:t>
      </w:r>
      <w:r w:rsidR="00AF7455">
        <w:rPr>
          <w:rFonts w:cs="Arial"/>
          <w:b/>
          <w:bCs/>
        </w:rPr>
        <w:t>ial Services</w:t>
      </w:r>
    </w:p>
    <w:p w:rsidR="005D4C4D" w:rsidRDefault="005D4C4D" w:rsidP="005D4C4D">
      <w:pPr>
        <w:tabs>
          <w:tab w:val="left" w:pos="2160"/>
        </w:tabs>
        <w:rPr>
          <w:rFonts w:cs="Arial"/>
          <w:b/>
          <w:bCs/>
        </w:rPr>
      </w:pPr>
    </w:p>
    <w:p w:rsidR="005D4C4D" w:rsidRDefault="005D4C4D" w:rsidP="003B022E">
      <w:pPr>
        <w:tabs>
          <w:tab w:val="left" w:pos="2160"/>
        </w:tabs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 xml:space="preserve">Title of Report: </w:t>
      </w:r>
      <w:r>
        <w:rPr>
          <w:rFonts w:cs="Arial"/>
          <w:b/>
          <w:bCs/>
        </w:rPr>
        <w:tab/>
      </w:r>
      <w:r w:rsidR="0018188C">
        <w:rPr>
          <w:rFonts w:cs="Arial"/>
          <w:b/>
          <w:bCs/>
        </w:rPr>
        <w:t>Risk Management Quarterly Reporting</w:t>
      </w:r>
      <w:r w:rsidR="00A91CBA">
        <w:rPr>
          <w:rFonts w:cs="Arial"/>
          <w:b/>
          <w:bCs/>
        </w:rPr>
        <w:t xml:space="preserve">: Quarter </w:t>
      </w:r>
      <w:r w:rsidR="005A17F5">
        <w:rPr>
          <w:rFonts w:cs="Arial"/>
          <w:b/>
          <w:bCs/>
        </w:rPr>
        <w:t>4</w:t>
      </w:r>
      <w:r w:rsidR="00A91CBA">
        <w:rPr>
          <w:rFonts w:cs="Arial"/>
          <w:b/>
          <w:bCs/>
        </w:rPr>
        <w:t xml:space="preserve"> 2015/16</w:t>
      </w:r>
    </w:p>
    <w:p w:rsidR="005D4C4D" w:rsidRDefault="005D4C4D" w:rsidP="005D4C4D">
      <w:pPr>
        <w:rPr>
          <w:rFonts w:cs="Arial"/>
        </w:rPr>
      </w:pP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D1A03" w:rsidRDefault="005D4C4D" w:rsidP="0098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</w:tabs>
        <w:rPr>
          <w:rFonts w:cs="Arial"/>
        </w:rPr>
      </w:pPr>
      <w:r>
        <w:rPr>
          <w:rFonts w:cs="Arial"/>
          <w:b/>
          <w:bCs/>
        </w:rPr>
        <w:t>Purpose of report</w:t>
      </w:r>
      <w:r w:rsidR="001D1A03">
        <w:rPr>
          <w:rFonts w:cs="Arial"/>
        </w:rPr>
        <w:t>:</w:t>
      </w:r>
      <w:r w:rsidR="00A32A7B">
        <w:rPr>
          <w:rFonts w:cs="Arial"/>
        </w:rPr>
        <w:tab/>
      </w:r>
      <w:r w:rsidR="00A91CBA" w:rsidRPr="00A91CBA">
        <w:rPr>
          <w:rFonts w:cs="Arial"/>
        </w:rPr>
        <w:t xml:space="preserve">To update the Committee on both corporate and service risks as at the end of Quarter </w:t>
      </w:r>
      <w:r w:rsidR="005A17F5">
        <w:rPr>
          <w:rFonts w:cs="Arial"/>
        </w:rPr>
        <w:t>4</w:t>
      </w:r>
      <w:r w:rsidR="00A91CBA" w:rsidRPr="00A91CBA">
        <w:rPr>
          <w:rFonts w:cs="Arial"/>
        </w:rPr>
        <w:t xml:space="preserve">, </w:t>
      </w:r>
      <w:r w:rsidR="005A17F5">
        <w:rPr>
          <w:rFonts w:cs="Arial"/>
        </w:rPr>
        <w:t>3</w:t>
      </w:r>
      <w:r w:rsidR="00F2779C">
        <w:rPr>
          <w:rFonts w:cs="Arial"/>
        </w:rPr>
        <w:t xml:space="preserve">1 </w:t>
      </w:r>
      <w:r w:rsidR="00760922">
        <w:rPr>
          <w:rFonts w:cs="Arial"/>
        </w:rPr>
        <w:t>March 2016</w:t>
      </w:r>
      <w:r w:rsidR="00A91CBA" w:rsidRPr="00A91CBA">
        <w:rPr>
          <w:rFonts w:cs="Arial"/>
        </w:rPr>
        <w:t>.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D4C4D" w:rsidRDefault="005D4C4D" w:rsidP="00A32A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bCs w:val="0"/>
        </w:rPr>
      </w:pPr>
      <w:r>
        <w:rPr>
          <w:bCs w:val="0"/>
        </w:rPr>
        <w:t>Key decision</w:t>
      </w:r>
      <w:r w:rsidR="00AC4B4B">
        <w:rPr>
          <w:bCs w:val="0"/>
        </w:rPr>
        <w:t>:</w:t>
      </w:r>
      <w:r w:rsidR="00A32A7B">
        <w:rPr>
          <w:bCs w:val="0"/>
        </w:rPr>
        <w:tab/>
      </w:r>
      <w:r w:rsidR="00DE11B2">
        <w:rPr>
          <w:bCs w:val="0"/>
        </w:rPr>
        <w:t>No</w:t>
      </w:r>
      <w:r>
        <w:rPr>
          <w:bCs w:val="0"/>
        </w:rPr>
        <w:t xml:space="preserve"> </w:t>
      </w:r>
    </w:p>
    <w:p w:rsidR="005D4C4D" w:rsidRDefault="005D4C4D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D4C4D" w:rsidRDefault="00A32A7B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  <w:bCs/>
        </w:rPr>
      </w:pPr>
      <w:r>
        <w:rPr>
          <w:rFonts w:cs="Arial"/>
          <w:b/>
          <w:bCs/>
        </w:rPr>
        <w:t>Executive lead member:</w:t>
      </w:r>
      <w:r>
        <w:rPr>
          <w:rFonts w:cs="Arial"/>
          <w:b/>
          <w:bCs/>
        </w:rPr>
        <w:tab/>
      </w:r>
      <w:r w:rsidR="00AC4B4B">
        <w:rPr>
          <w:rFonts w:cs="Arial"/>
          <w:b/>
          <w:bCs/>
        </w:rPr>
        <w:t>Councillor Ed Turner</w:t>
      </w: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4C4D" w:rsidRDefault="005D4C4D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cs="Arial"/>
          <w:b/>
          <w:bCs/>
        </w:rPr>
      </w:pPr>
      <w:r>
        <w:rPr>
          <w:rFonts w:cs="Arial"/>
          <w:b/>
          <w:bCs/>
        </w:rPr>
        <w:t>Policy Framework:</w:t>
      </w:r>
      <w:r w:rsidR="00A32A7B">
        <w:rPr>
          <w:rFonts w:cs="Arial"/>
          <w:b/>
          <w:bCs/>
        </w:rPr>
        <w:tab/>
      </w:r>
      <w:r w:rsidR="00727ED1">
        <w:rPr>
          <w:rFonts w:cs="Arial"/>
          <w:b/>
          <w:bCs/>
        </w:rPr>
        <w:t xml:space="preserve">Efficient and </w:t>
      </w:r>
      <w:r w:rsidR="00CB0A60">
        <w:rPr>
          <w:rFonts w:cs="Arial"/>
          <w:b/>
          <w:bCs/>
        </w:rPr>
        <w:t>E</w:t>
      </w:r>
      <w:r w:rsidR="00727ED1">
        <w:rPr>
          <w:rFonts w:cs="Arial"/>
          <w:b/>
          <w:bCs/>
        </w:rPr>
        <w:t>ffective Council</w:t>
      </w:r>
    </w:p>
    <w:p w:rsidR="005D4C4D" w:rsidRDefault="005D4C4D" w:rsidP="005D4C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DFC" w:rsidRPr="00A32A7B" w:rsidRDefault="000C5DA1" w:rsidP="005D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 xml:space="preserve">Recommendation(s): </w:t>
      </w:r>
      <w:r w:rsidR="00760922">
        <w:rPr>
          <w:rFonts w:cs="Arial"/>
          <w:b/>
        </w:rPr>
        <w:t>That the Committee notes the content of the report</w:t>
      </w:r>
    </w:p>
    <w:p w:rsidR="00520C82" w:rsidRPr="00520C82" w:rsidRDefault="00520C82" w:rsidP="00A3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048"/>
        </w:tabs>
        <w:rPr>
          <w:rFonts w:cs="Arial"/>
        </w:rPr>
      </w:pPr>
    </w:p>
    <w:p w:rsidR="00A32A7B" w:rsidRDefault="00A32A7B" w:rsidP="005D4C4D">
      <w:pPr>
        <w:rPr>
          <w:rFonts w:cs="Arial"/>
          <w:b/>
        </w:rPr>
      </w:pPr>
    </w:p>
    <w:p w:rsidR="007E1B08" w:rsidRDefault="00AE0538" w:rsidP="005D4C4D">
      <w:pPr>
        <w:rPr>
          <w:rFonts w:cs="Arial"/>
          <w:b/>
        </w:rPr>
      </w:pPr>
      <w:r w:rsidRPr="00AE0538">
        <w:rPr>
          <w:rFonts w:cs="Arial"/>
          <w:b/>
        </w:rPr>
        <w:t>Appendices</w:t>
      </w:r>
      <w:r w:rsidR="00EF0FA5">
        <w:rPr>
          <w:rFonts w:cs="Arial"/>
          <w:b/>
        </w:rPr>
        <w:t>:</w:t>
      </w:r>
    </w:p>
    <w:p w:rsidR="00EF0FA5" w:rsidRPr="00AE0538" w:rsidRDefault="00EF0FA5" w:rsidP="005D4C4D">
      <w:pPr>
        <w:rPr>
          <w:rFonts w:cs="Arial"/>
          <w:b/>
        </w:rPr>
      </w:pPr>
    </w:p>
    <w:p w:rsidR="00335660" w:rsidRDefault="0018188C" w:rsidP="005D4C4D">
      <w:pPr>
        <w:rPr>
          <w:rFonts w:cs="Arial"/>
        </w:rPr>
      </w:pPr>
      <w:r>
        <w:rPr>
          <w:rFonts w:cs="Arial"/>
          <w:b/>
        </w:rPr>
        <w:t>Appendix A</w:t>
      </w:r>
      <w:r>
        <w:rPr>
          <w:rFonts w:cs="Arial"/>
          <w:b/>
        </w:rPr>
        <w:tab/>
        <w:t>Corporate Risk Register</w:t>
      </w:r>
    </w:p>
    <w:p w:rsidR="002D3856" w:rsidRDefault="002D3856" w:rsidP="002D3856">
      <w:pPr>
        <w:rPr>
          <w:rFonts w:cs="Arial"/>
        </w:rPr>
      </w:pPr>
    </w:p>
    <w:p w:rsidR="00AE0538" w:rsidRDefault="00A91CBA" w:rsidP="002D3856">
      <w:pPr>
        <w:rPr>
          <w:rFonts w:cs="Arial"/>
          <w:b/>
        </w:rPr>
      </w:pPr>
      <w:r>
        <w:rPr>
          <w:rFonts w:cs="Arial"/>
          <w:b/>
        </w:rPr>
        <w:t>Risk Scoring Matrix</w:t>
      </w:r>
    </w:p>
    <w:p w:rsidR="00AE0538" w:rsidRDefault="00AE0538" w:rsidP="002D3856">
      <w:pPr>
        <w:rPr>
          <w:rFonts w:cs="Arial"/>
        </w:rPr>
      </w:pPr>
    </w:p>
    <w:p w:rsidR="00A32A7B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</w:rPr>
        <w:t>The Council</w:t>
      </w:r>
      <w:r>
        <w:rPr>
          <w:rFonts w:cs="Arial"/>
        </w:rPr>
        <w:t xml:space="preserve"> operates a ‘five by five’</w:t>
      </w:r>
      <w:r w:rsidRPr="00A91CBA">
        <w:rPr>
          <w:rFonts w:cs="Arial"/>
        </w:rPr>
        <w:t xml:space="preserve"> </w:t>
      </w:r>
      <w:r>
        <w:rPr>
          <w:rFonts w:cs="Arial"/>
        </w:rPr>
        <w:t xml:space="preserve">scoring matrix.  The </w:t>
      </w:r>
      <w:r w:rsidRPr="00A91CBA">
        <w:rPr>
          <w:rFonts w:cs="Arial"/>
        </w:rPr>
        <w:t>methodology for scoring risks is set out below along with a copy of the scoring matrix</w:t>
      </w:r>
      <w:r>
        <w:rPr>
          <w:rFonts w:cs="Arial"/>
        </w:rPr>
        <w:t xml:space="preserve"> or ‘heat map’.</w:t>
      </w:r>
      <w:bookmarkStart w:id="0" w:name="_GoBack"/>
      <w:bookmarkEnd w:id="0"/>
    </w:p>
    <w:p w:rsidR="00B73F00" w:rsidRDefault="00B73F00">
      <w:pPr>
        <w:rPr>
          <w:rFonts w:cs="Arial"/>
        </w:rPr>
      </w:pPr>
      <w:r>
        <w:rPr>
          <w:rFonts w:cs="Arial"/>
        </w:rPr>
        <w:br w:type="page"/>
      </w:r>
    </w:p>
    <w:p w:rsidR="00A32A7B" w:rsidRDefault="00A32A7B" w:rsidP="00A32A7B">
      <w:pPr>
        <w:ind w:left="426"/>
        <w:rPr>
          <w:rFonts w:cs="Arial"/>
        </w:rPr>
      </w:pPr>
    </w:p>
    <w:p w:rsidR="00A32A7B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</w:rPr>
        <w:t xml:space="preserve">It is possible to get the same score but end up with a different result in the heat map. For example if the probability of an event occurring is high but the impact is low it is likely to have a lower </w:t>
      </w:r>
      <w:r>
        <w:rPr>
          <w:rFonts w:cs="Arial"/>
        </w:rPr>
        <w:t>rating</w:t>
      </w:r>
      <w:r w:rsidRPr="00A91CBA">
        <w:rPr>
          <w:rFonts w:cs="Arial"/>
        </w:rPr>
        <w:t xml:space="preserve"> on the heat map. However, the higher the potential impact score the more likely the event will be classed as a red risk on the matrix.</w:t>
      </w:r>
    </w:p>
    <w:p w:rsidR="0032749E" w:rsidRDefault="0032749E" w:rsidP="0032749E">
      <w:pPr>
        <w:pStyle w:val="ListParagraph"/>
        <w:ind w:left="426"/>
        <w:rPr>
          <w:rFonts w:cs="Arial"/>
        </w:rPr>
      </w:pPr>
    </w:p>
    <w:tbl>
      <w:tblPr>
        <w:tblW w:w="9489" w:type="dxa"/>
        <w:tblInd w:w="-1169" w:type="dxa"/>
        <w:tblLook w:val="04A0" w:firstRow="1" w:lastRow="0" w:firstColumn="1" w:lastColumn="0" w:noHBand="0" w:noVBand="1"/>
      </w:tblPr>
      <w:tblGrid>
        <w:gridCol w:w="1660"/>
        <w:gridCol w:w="1120"/>
        <w:gridCol w:w="1340"/>
        <w:gridCol w:w="1340"/>
        <w:gridCol w:w="1340"/>
        <w:gridCol w:w="1340"/>
        <w:gridCol w:w="1349"/>
      </w:tblGrid>
      <w:tr w:rsidR="00B5477F" w:rsidRPr="00B5477F" w:rsidTr="00AC6D8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5477F" w:rsidRPr="00B5477F" w:rsidTr="00AC6D86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Almost</w:t>
            </w: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br/>
              <w:t>Certain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25</w:t>
            </w:r>
          </w:p>
        </w:tc>
      </w:tr>
      <w:tr w:rsidR="00B5477F" w:rsidRPr="00B5477F" w:rsidTr="00AC6D86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20</w:t>
            </w:r>
          </w:p>
        </w:tc>
      </w:tr>
      <w:tr w:rsidR="00B5477F" w:rsidRPr="00B5477F" w:rsidTr="00AC6D86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Possible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DiagCross" w:color="000000" w:fill="FF0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000000" w:fill="FF0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15</w:t>
            </w:r>
          </w:p>
        </w:tc>
      </w:tr>
      <w:tr w:rsidR="00B5477F" w:rsidRPr="00B5477F" w:rsidTr="00AC6D86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VertStripe" w:color="000000" w:fill="FFC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thinVertStripe" w:color="000000" w:fill="FFC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10</w:t>
            </w:r>
          </w:p>
        </w:tc>
      </w:tr>
      <w:tr w:rsidR="00B5477F" w:rsidRPr="00B5477F" w:rsidTr="00AC6D86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Rare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thinHorzStripe" w:color="000000" w:fill="00B05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thinVertStripe" w:color="000000" w:fill="FFC000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lang w:eastAsia="en-GB"/>
              </w:rPr>
              <w:t>5</w:t>
            </w:r>
          </w:p>
        </w:tc>
      </w:tr>
      <w:tr w:rsidR="00B5477F" w:rsidRPr="00B5477F" w:rsidTr="00AC6D8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B5477F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B5477F" w:rsidRPr="00B5477F" w:rsidTr="00AC6D8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5477F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  <w:t>Impact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</w:pPr>
            <w:r w:rsidRPr="00B5477F"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  <w:t>Insignificant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</w:pPr>
            <w:r w:rsidRPr="00B5477F"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  <w:t>Minor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</w:pPr>
            <w:r w:rsidRPr="00B5477F"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</w:pPr>
            <w:r w:rsidRPr="00B5477F"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  <w:t>Major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7F" w:rsidRPr="00B5477F" w:rsidRDefault="00B5477F" w:rsidP="00B5477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</w:pPr>
            <w:r w:rsidRPr="00B5477F">
              <w:rPr>
                <w:rFonts w:ascii="Verdana" w:hAnsi="Verdana" w:cs="Calibri"/>
                <w:color w:val="000000"/>
                <w:sz w:val="18"/>
                <w:szCs w:val="18"/>
                <w:lang w:eastAsia="en-GB"/>
              </w:rPr>
              <w:t>Catastrophic</w:t>
            </w:r>
          </w:p>
        </w:tc>
      </w:tr>
    </w:tbl>
    <w:p w:rsidR="00B5477F" w:rsidRDefault="00B5477F" w:rsidP="0032749E">
      <w:pPr>
        <w:pStyle w:val="ListParagraph"/>
        <w:ind w:left="426"/>
        <w:rPr>
          <w:rFonts w:cs="Arial"/>
        </w:rPr>
      </w:pPr>
    </w:p>
    <w:tbl>
      <w:tblPr>
        <w:tblW w:w="7868" w:type="dxa"/>
        <w:tblInd w:w="93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</w:tblGrid>
      <w:tr w:rsidR="00A91CBA" w:rsidRPr="00A91CBA" w:rsidTr="00AC6D86">
        <w:trPr>
          <w:trHeight w:val="28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A91CBA">
              <w:rPr>
                <w:rFonts w:cs="Arial"/>
                <w:b/>
                <w:bCs/>
                <w:color w:val="000000"/>
                <w:lang w:eastAsia="en-GB"/>
              </w:rPr>
              <w:t>Key: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Green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Amber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91CBA" w:rsidRPr="00A91CBA" w:rsidRDefault="00A91CBA" w:rsidP="00A91CBA">
            <w:pPr>
              <w:jc w:val="center"/>
              <w:rPr>
                <w:rFonts w:cs="Arial"/>
                <w:b/>
                <w:bCs/>
                <w:color w:val="FFFFFF"/>
                <w:lang w:eastAsia="en-GB"/>
              </w:rPr>
            </w:pPr>
            <w:r w:rsidRPr="00A91CBA">
              <w:rPr>
                <w:rFonts w:cs="Arial"/>
                <w:b/>
                <w:bCs/>
                <w:color w:val="FFFFFF"/>
                <w:lang w:eastAsia="en-GB"/>
              </w:rPr>
              <w:t>Red</w:t>
            </w:r>
          </w:p>
        </w:tc>
      </w:tr>
      <w:tr w:rsidR="00A91CBA" w:rsidRPr="00A91CBA" w:rsidTr="00AC6D86">
        <w:trPr>
          <w:trHeight w:val="272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BA" w:rsidRPr="00A91CBA" w:rsidRDefault="00A91CBA" w:rsidP="00A91C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000000" w:fill="00B05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VertStripe" w:color="000000" w:fill="FFC00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FF0000"/>
            <w:vAlign w:val="center"/>
            <w:hideMark/>
          </w:tcPr>
          <w:p w:rsidR="00A91CBA" w:rsidRPr="00A91CBA" w:rsidRDefault="00A91CBA" w:rsidP="00A91CBA">
            <w:pPr>
              <w:rPr>
                <w:rFonts w:cs="Arial"/>
                <w:color w:val="000000"/>
                <w:lang w:eastAsia="en-GB"/>
              </w:rPr>
            </w:pPr>
            <w:r w:rsidRPr="00A91CBA">
              <w:rPr>
                <w:rFonts w:eastAsiaTheme="minorHAnsi" w:cs="Arial"/>
                <w:color w:val="000000"/>
                <w:lang w:eastAsia="en-GB"/>
              </w:rPr>
              <w:t> </w:t>
            </w:r>
          </w:p>
        </w:tc>
      </w:tr>
    </w:tbl>
    <w:p w:rsidR="00A91CBA" w:rsidRDefault="00A91CBA" w:rsidP="0032749E">
      <w:pPr>
        <w:pStyle w:val="ListParagraph"/>
        <w:ind w:left="426"/>
        <w:rPr>
          <w:rFonts w:cs="Arial"/>
        </w:rPr>
      </w:pPr>
    </w:p>
    <w:p w:rsidR="00A91CBA" w:rsidRDefault="00A91CBA" w:rsidP="00A91CBA">
      <w:pPr>
        <w:rPr>
          <w:rFonts w:cs="Arial"/>
          <w:b/>
        </w:rPr>
      </w:pPr>
      <w:r>
        <w:rPr>
          <w:rFonts w:cs="Arial"/>
          <w:b/>
        </w:rPr>
        <w:t xml:space="preserve">Risk </w:t>
      </w:r>
      <w:r w:rsidRPr="00A91CBA">
        <w:rPr>
          <w:rFonts w:cs="Arial"/>
          <w:b/>
        </w:rPr>
        <w:t>Identification</w:t>
      </w:r>
    </w:p>
    <w:p w:rsidR="00A91CBA" w:rsidRDefault="00A91CBA" w:rsidP="0032749E">
      <w:pPr>
        <w:pStyle w:val="ListParagraph"/>
        <w:ind w:left="426"/>
        <w:rPr>
          <w:rFonts w:cs="Arial"/>
        </w:rPr>
      </w:pPr>
    </w:p>
    <w:p w:rsidR="0032749E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  <w:b/>
        </w:rPr>
        <w:t xml:space="preserve">Corporate Risks – </w:t>
      </w:r>
      <w:r w:rsidRPr="00A91CBA">
        <w:rPr>
          <w:rFonts w:cs="Arial"/>
        </w:rPr>
        <w:t xml:space="preserve">The Corporate Risk Register (CRR) is reviewed by the Corporate Management Team (CMT) on a quarterly basis, any new risks are incorporated into a revised version of the CRR.  Risk owners </w:t>
      </w:r>
      <w:r w:rsidR="00935203">
        <w:rPr>
          <w:rFonts w:cs="Arial"/>
        </w:rPr>
        <w:t>of</w:t>
      </w:r>
      <w:r w:rsidRPr="00A91CBA">
        <w:rPr>
          <w:rFonts w:cs="Arial"/>
        </w:rPr>
        <w:t xml:space="preserve"> corporate risks are generally Director</w:t>
      </w:r>
      <w:r w:rsidR="00935203">
        <w:rPr>
          <w:rFonts w:cs="Arial"/>
        </w:rPr>
        <w:t>s.</w:t>
      </w:r>
    </w:p>
    <w:p w:rsidR="00A91CBA" w:rsidRDefault="00A91CBA" w:rsidP="00A91CBA">
      <w:pPr>
        <w:ind w:left="426"/>
        <w:rPr>
          <w:rFonts w:cs="Arial"/>
        </w:rPr>
      </w:pPr>
    </w:p>
    <w:p w:rsidR="00A91CBA" w:rsidRDefault="00A91CBA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A91CBA">
        <w:rPr>
          <w:rFonts w:cs="Arial"/>
          <w:b/>
        </w:rPr>
        <w:t xml:space="preserve">Service Risks – </w:t>
      </w:r>
      <w:r w:rsidRPr="00A91CBA">
        <w:rPr>
          <w:rFonts w:cs="Arial"/>
        </w:rPr>
        <w:t xml:space="preserve">Service area risks are reviewed periodically by Heads of Service and Service Managers.  The Financial Accounting Manager has oversight of all risks and on a quarterly basis will review service risks to determine </w:t>
      </w:r>
      <w:r>
        <w:rPr>
          <w:rFonts w:cs="Arial"/>
        </w:rPr>
        <w:t>whether they should be considered f</w:t>
      </w:r>
      <w:r w:rsidRPr="00A91CBA">
        <w:rPr>
          <w:rFonts w:cs="Arial"/>
        </w:rPr>
        <w:t>or inclusion in the Corporate Risk Register.</w:t>
      </w:r>
    </w:p>
    <w:p w:rsidR="001135F8" w:rsidRDefault="001135F8" w:rsidP="001135F8">
      <w:pPr>
        <w:pStyle w:val="ListParagraph"/>
        <w:ind w:left="426"/>
        <w:rPr>
          <w:rFonts w:cs="Arial"/>
        </w:rPr>
      </w:pPr>
    </w:p>
    <w:p w:rsidR="001135F8" w:rsidRDefault="001135F8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1135F8">
        <w:rPr>
          <w:rFonts w:cs="Arial"/>
          <w:b/>
        </w:rPr>
        <w:t xml:space="preserve">Project and Programme Risk – </w:t>
      </w:r>
      <w:r w:rsidRPr="001135F8">
        <w:rPr>
          <w:rFonts w:cs="Arial"/>
        </w:rPr>
        <w:t>The Council adopts the principles of Prince2 methodology for managing projects. Incorporated within this methodology is a robust process for the management of risk within a project environment.  Each project is managed by the Project Manager who controls and co-ordinates all aspects of the project through to conclusion.</w:t>
      </w:r>
    </w:p>
    <w:p w:rsidR="0032749E" w:rsidRDefault="0032749E" w:rsidP="0032749E">
      <w:pPr>
        <w:ind w:left="426"/>
        <w:rPr>
          <w:rFonts w:cs="Arial"/>
        </w:rPr>
      </w:pPr>
    </w:p>
    <w:p w:rsidR="0032749E" w:rsidRPr="00A32A7B" w:rsidRDefault="001135F8" w:rsidP="0032749E">
      <w:pPr>
        <w:rPr>
          <w:rFonts w:cs="Arial"/>
          <w:b/>
        </w:rPr>
      </w:pPr>
      <w:r>
        <w:rPr>
          <w:rFonts w:cs="Arial"/>
          <w:b/>
        </w:rPr>
        <w:t xml:space="preserve">Quarter </w:t>
      </w:r>
      <w:r w:rsidR="005A17F5">
        <w:rPr>
          <w:rFonts w:cs="Arial"/>
          <w:b/>
        </w:rPr>
        <w:t>4</w:t>
      </w:r>
      <w:r>
        <w:rPr>
          <w:rFonts w:cs="Arial"/>
          <w:b/>
        </w:rPr>
        <w:t xml:space="preserve"> Corporate Risk Register</w:t>
      </w:r>
    </w:p>
    <w:p w:rsidR="0032749E" w:rsidRPr="00A32A7B" w:rsidRDefault="0032749E" w:rsidP="0032749E">
      <w:pPr>
        <w:rPr>
          <w:rFonts w:cs="Arial"/>
        </w:rPr>
      </w:pPr>
    </w:p>
    <w:p w:rsidR="0032749E" w:rsidRDefault="001135F8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1135F8">
        <w:rPr>
          <w:rFonts w:cs="Arial"/>
        </w:rPr>
        <w:t xml:space="preserve">The Corporate Risk Register </w:t>
      </w:r>
      <w:r w:rsidR="000A470B">
        <w:rPr>
          <w:rFonts w:cs="Arial"/>
        </w:rPr>
        <w:t xml:space="preserve">is attached at </w:t>
      </w:r>
      <w:r w:rsidRPr="001135F8">
        <w:rPr>
          <w:rFonts w:cs="Arial"/>
        </w:rPr>
        <w:t>Appendix A</w:t>
      </w:r>
      <w:r w:rsidR="000A470B">
        <w:rPr>
          <w:rFonts w:cs="Arial"/>
        </w:rPr>
        <w:t xml:space="preserve">.  </w:t>
      </w:r>
      <w:r w:rsidR="00774644">
        <w:rPr>
          <w:rFonts w:cs="Arial"/>
        </w:rPr>
        <w:t>In Quarter 3, th</w:t>
      </w:r>
      <w:r w:rsidR="000A470B">
        <w:rPr>
          <w:rFonts w:cs="Arial"/>
        </w:rPr>
        <w:t xml:space="preserve">e Housing Revenue Account </w:t>
      </w:r>
      <w:r w:rsidR="00692CAE">
        <w:rPr>
          <w:rFonts w:cs="Arial"/>
        </w:rPr>
        <w:t>B</w:t>
      </w:r>
      <w:r w:rsidR="000A470B">
        <w:rPr>
          <w:rFonts w:cs="Arial"/>
        </w:rPr>
        <w:t xml:space="preserve">usiness </w:t>
      </w:r>
      <w:r w:rsidR="00692CAE">
        <w:rPr>
          <w:rFonts w:cs="Arial"/>
        </w:rPr>
        <w:t>P</w:t>
      </w:r>
      <w:r w:rsidR="000A470B">
        <w:rPr>
          <w:rFonts w:cs="Arial"/>
        </w:rPr>
        <w:t xml:space="preserve">lan risk </w:t>
      </w:r>
      <w:r w:rsidR="00774644">
        <w:rPr>
          <w:rFonts w:cs="Arial"/>
        </w:rPr>
        <w:t xml:space="preserve">was </w:t>
      </w:r>
      <w:r w:rsidR="000A470B">
        <w:rPr>
          <w:rFonts w:cs="Arial"/>
        </w:rPr>
        <w:t xml:space="preserve">separated from the Medium Term Financial Strategy due to the </w:t>
      </w:r>
      <w:r w:rsidR="00BC5060">
        <w:rPr>
          <w:rFonts w:cs="Arial"/>
        </w:rPr>
        <w:t>increase in the risk level arising from the Government announcements which have had an adverse effect on the funding of the Council</w:t>
      </w:r>
      <w:r w:rsidR="0094727E">
        <w:rPr>
          <w:rFonts w:cs="Arial"/>
        </w:rPr>
        <w:t>'</w:t>
      </w:r>
      <w:r w:rsidR="00BC5060">
        <w:rPr>
          <w:rFonts w:cs="Arial"/>
        </w:rPr>
        <w:t>s HRA Business Plan. Whils</w:t>
      </w:r>
      <w:r w:rsidR="00774644">
        <w:rPr>
          <w:rFonts w:cs="Arial"/>
        </w:rPr>
        <w:t xml:space="preserve">t this </w:t>
      </w:r>
      <w:r w:rsidR="000A470B">
        <w:rPr>
          <w:rFonts w:cs="Arial"/>
        </w:rPr>
        <w:lastRenderedPageBreak/>
        <w:t>increase</w:t>
      </w:r>
      <w:r w:rsidR="00774644">
        <w:rPr>
          <w:rFonts w:cs="Arial"/>
        </w:rPr>
        <w:t>d</w:t>
      </w:r>
      <w:r w:rsidR="000A470B">
        <w:rPr>
          <w:rFonts w:cs="Arial"/>
        </w:rPr>
        <w:t xml:space="preserve"> the number of risks being monitored from 6 to 7, there </w:t>
      </w:r>
      <w:r w:rsidR="00F2779C">
        <w:rPr>
          <w:rFonts w:cs="Arial"/>
        </w:rPr>
        <w:t>was</w:t>
      </w:r>
      <w:r w:rsidR="00774644">
        <w:rPr>
          <w:rFonts w:cs="Arial"/>
        </w:rPr>
        <w:t xml:space="preserve"> n</w:t>
      </w:r>
      <w:r w:rsidR="000A470B">
        <w:rPr>
          <w:rFonts w:cs="Arial"/>
        </w:rPr>
        <w:t xml:space="preserve">o overall increase in risk to the Council from the level </w:t>
      </w:r>
      <w:r w:rsidR="00BA565A">
        <w:rPr>
          <w:rFonts w:cs="Arial"/>
        </w:rPr>
        <w:t xml:space="preserve">which </w:t>
      </w:r>
      <w:r w:rsidR="000A470B">
        <w:rPr>
          <w:rFonts w:cs="Arial"/>
        </w:rPr>
        <w:t xml:space="preserve">was </w:t>
      </w:r>
      <w:r w:rsidR="00347697">
        <w:rPr>
          <w:rFonts w:cs="Arial"/>
        </w:rPr>
        <w:t xml:space="preserve">present </w:t>
      </w:r>
      <w:r w:rsidR="000A470B">
        <w:rPr>
          <w:rFonts w:cs="Arial"/>
        </w:rPr>
        <w:t xml:space="preserve">at Quarter 2.  </w:t>
      </w:r>
      <w:r w:rsidR="00774644">
        <w:rPr>
          <w:rFonts w:cs="Arial"/>
        </w:rPr>
        <w:t xml:space="preserve">As a result of </w:t>
      </w:r>
      <w:r w:rsidR="00F2779C">
        <w:rPr>
          <w:rFonts w:cs="Arial"/>
        </w:rPr>
        <w:t>setting the budgets for the HRA in February</w:t>
      </w:r>
      <w:r w:rsidR="00BC5060">
        <w:rPr>
          <w:rFonts w:cs="Arial"/>
        </w:rPr>
        <w:t xml:space="preserve"> 2016</w:t>
      </w:r>
      <w:r w:rsidR="00F2779C">
        <w:rPr>
          <w:rFonts w:cs="Arial"/>
        </w:rPr>
        <w:t xml:space="preserve">, </w:t>
      </w:r>
      <w:r w:rsidR="00774644">
        <w:rPr>
          <w:rFonts w:cs="Arial"/>
        </w:rPr>
        <w:t xml:space="preserve">the Housing Revenue Business Plan risk has </w:t>
      </w:r>
      <w:r w:rsidR="00F2779C">
        <w:rPr>
          <w:rFonts w:cs="Arial"/>
        </w:rPr>
        <w:t xml:space="preserve">now </w:t>
      </w:r>
      <w:r w:rsidR="00774644">
        <w:rPr>
          <w:rFonts w:cs="Arial"/>
        </w:rPr>
        <w:t>reduced</w:t>
      </w:r>
      <w:r w:rsidR="00CB0A60">
        <w:rPr>
          <w:rFonts w:cs="Arial"/>
        </w:rPr>
        <w:t xml:space="preserve"> from red</w:t>
      </w:r>
      <w:r w:rsidR="00774644">
        <w:rPr>
          <w:rFonts w:cs="Arial"/>
        </w:rPr>
        <w:t xml:space="preserve"> to amber</w:t>
      </w:r>
      <w:r w:rsidR="00BC5060">
        <w:rPr>
          <w:rFonts w:cs="Arial"/>
        </w:rPr>
        <w:t xml:space="preserve"> as the Council believes it has made sufficient financial provision to mitigate the effects of the Governments changes</w:t>
      </w:r>
      <w:r w:rsidR="000A470B">
        <w:rPr>
          <w:rFonts w:cs="Arial"/>
        </w:rPr>
        <w:t>.</w:t>
      </w:r>
      <w:r w:rsidR="005D6DCA">
        <w:rPr>
          <w:rFonts w:cs="Arial"/>
        </w:rPr>
        <w:t xml:space="preserve"> </w:t>
      </w:r>
      <w:r w:rsidR="00C74E1F">
        <w:rPr>
          <w:rFonts w:cs="Arial"/>
        </w:rPr>
        <w:t xml:space="preserve">The risk relating to the </w:t>
      </w:r>
      <w:r w:rsidR="0094727E">
        <w:rPr>
          <w:rFonts w:cs="Arial"/>
        </w:rPr>
        <w:t>M</w:t>
      </w:r>
      <w:r w:rsidR="00C74E1F">
        <w:rPr>
          <w:rFonts w:cs="Arial"/>
        </w:rPr>
        <w:t xml:space="preserve">edium </w:t>
      </w:r>
      <w:r w:rsidR="0094727E">
        <w:rPr>
          <w:rFonts w:cs="Arial"/>
        </w:rPr>
        <w:t>T</w:t>
      </w:r>
      <w:r w:rsidR="00C74E1F">
        <w:rPr>
          <w:rFonts w:cs="Arial"/>
        </w:rPr>
        <w:t xml:space="preserve">erm </w:t>
      </w:r>
      <w:r w:rsidR="0094727E">
        <w:rPr>
          <w:rFonts w:cs="Arial"/>
        </w:rPr>
        <w:t>F</w:t>
      </w:r>
      <w:r w:rsidR="00C74E1F">
        <w:rPr>
          <w:rFonts w:cs="Arial"/>
        </w:rPr>
        <w:t xml:space="preserve">inancial </w:t>
      </w:r>
      <w:r w:rsidR="0094727E">
        <w:rPr>
          <w:rFonts w:cs="Arial"/>
        </w:rPr>
        <w:t>P</w:t>
      </w:r>
      <w:r w:rsidR="00C74E1F">
        <w:rPr>
          <w:rFonts w:cs="Arial"/>
        </w:rPr>
        <w:t>lan reduced from amber to green following budget setting in February 2016. T</w:t>
      </w:r>
      <w:r w:rsidRPr="001135F8">
        <w:rPr>
          <w:rFonts w:cs="Arial"/>
        </w:rPr>
        <w:t>he table below shows the movement of risks over the last 1</w:t>
      </w:r>
      <w:r w:rsidR="00BC5060">
        <w:rPr>
          <w:rFonts w:cs="Arial"/>
        </w:rPr>
        <w:t>2</w:t>
      </w:r>
      <w:r w:rsidRPr="001135F8">
        <w:rPr>
          <w:rFonts w:cs="Arial"/>
        </w:rPr>
        <w:t xml:space="preserve"> months.</w:t>
      </w:r>
    </w:p>
    <w:p w:rsidR="000116FF" w:rsidRDefault="000116FF" w:rsidP="000116FF">
      <w:pPr>
        <w:ind w:left="426"/>
        <w:rPr>
          <w:rFonts w:cs="Arial"/>
        </w:rPr>
      </w:pPr>
    </w:p>
    <w:tbl>
      <w:tblPr>
        <w:tblW w:w="6140" w:type="dxa"/>
        <w:tblInd w:w="720" w:type="dxa"/>
        <w:tblLook w:val="04A0" w:firstRow="1" w:lastRow="0" w:firstColumn="1" w:lastColumn="0" w:noHBand="0" w:noVBand="1"/>
      </w:tblPr>
      <w:tblGrid>
        <w:gridCol w:w="1660"/>
        <w:gridCol w:w="1120"/>
        <w:gridCol w:w="1120"/>
        <w:gridCol w:w="1120"/>
        <w:gridCol w:w="1120"/>
      </w:tblGrid>
      <w:tr w:rsidR="00C37BCB" w:rsidRPr="000A470B" w:rsidTr="00C37BCB">
        <w:trPr>
          <w:trHeight w:val="315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Current Risk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774644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1 2015/16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774644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2015/16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774644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3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2015/16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774644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4</w:t>
            </w: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 xml:space="preserve"> 2015/16</w:t>
            </w: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774644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774644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Amber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4346D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774644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4346DB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</w:t>
            </w:r>
          </w:p>
        </w:tc>
      </w:tr>
      <w:tr w:rsidR="00C37BCB" w:rsidRPr="000A470B" w:rsidTr="00C37BCB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0A470B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C37BCB" w:rsidRPr="000A470B" w:rsidTr="00C37BCB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37BCB" w:rsidRPr="000A470B" w:rsidRDefault="00C37BCB" w:rsidP="000A470B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Total risks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14743B" w:rsidP="0014743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774644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37BCB" w:rsidRPr="000A470B" w:rsidRDefault="00C37BCB" w:rsidP="000A470B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0A470B"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</w:tr>
    </w:tbl>
    <w:p w:rsidR="000A470B" w:rsidRDefault="000A470B" w:rsidP="000116FF">
      <w:pPr>
        <w:ind w:left="426"/>
        <w:rPr>
          <w:rFonts w:cs="Arial"/>
        </w:rPr>
      </w:pPr>
    </w:p>
    <w:p w:rsidR="00D3115F" w:rsidRPr="00F2779C" w:rsidRDefault="00975552" w:rsidP="00A32A7B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 xml:space="preserve">A </w:t>
      </w:r>
      <w:r w:rsidR="00D3115F" w:rsidRPr="00F2779C">
        <w:rPr>
          <w:rFonts w:cs="Arial"/>
        </w:rPr>
        <w:t xml:space="preserve">full desktop review of all corporate risks </w:t>
      </w:r>
      <w:r>
        <w:rPr>
          <w:rFonts w:cs="Arial"/>
        </w:rPr>
        <w:t>i</w:t>
      </w:r>
      <w:r w:rsidR="0014743B">
        <w:rPr>
          <w:rFonts w:cs="Arial"/>
        </w:rPr>
        <w:t>s due to take place in July 2016.</w:t>
      </w:r>
    </w:p>
    <w:p w:rsidR="00D3115F" w:rsidRPr="00CB0A60" w:rsidRDefault="00D3115F" w:rsidP="00D3115F">
      <w:pPr>
        <w:ind w:left="426"/>
        <w:rPr>
          <w:rFonts w:cs="Arial"/>
          <w:highlight w:val="yellow"/>
        </w:rPr>
      </w:pPr>
    </w:p>
    <w:p w:rsidR="00966BBE" w:rsidRPr="00A32A7B" w:rsidRDefault="0078409C" w:rsidP="00966BBE">
      <w:pPr>
        <w:rPr>
          <w:rFonts w:cs="Arial"/>
          <w:b/>
        </w:rPr>
      </w:pPr>
      <w:r w:rsidRPr="0078409C">
        <w:rPr>
          <w:rFonts w:cs="Arial"/>
          <w:b/>
        </w:rPr>
        <w:t xml:space="preserve">Quarter </w:t>
      </w:r>
      <w:r w:rsidR="008C526A">
        <w:rPr>
          <w:rFonts w:cs="Arial"/>
          <w:b/>
        </w:rPr>
        <w:t>4</w:t>
      </w:r>
      <w:r w:rsidRPr="0078409C">
        <w:rPr>
          <w:rFonts w:cs="Arial"/>
          <w:b/>
        </w:rPr>
        <w:t xml:space="preserve"> Service Risk Register</w:t>
      </w:r>
      <w:r w:rsidR="005D6DCA">
        <w:rPr>
          <w:rFonts w:cs="Arial"/>
          <w:b/>
        </w:rPr>
        <w:t>s</w:t>
      </w:r>
    </w:p>
    <w:p w:rsidR="00966BBE" w:rsidRPr="00A32A7B" w:rsidRDefault="00966BBE" w:rsidP="00966BBE">
      <w:pPr>
        <w:rPr>
          <w:rFonts w:cs="Arial"/>
        </w:rPr>
      </w:pPr>
    </w:p>
    <w:p w:rsidR="006D7D0D" w:rsidRDefault="006D7D0D" w:rsidP="00A32A7B">
      <w:pPr>
        <w:numPr>
          <w:ilvl w:val="0"/>
          <w:numId w:val="1"/>
        </w:numPr>
        <w:ind w:left="426" w:hanging="426"/>
        <w:rPr>
          <w:rFonts w:cs="Arial"/>
        </w:rPr>
      </w:pPr>
      <w:r>
        <w:rPr>
          <w:rFonts w:cs="Arial"/>
        </w:rPr>
        <w:t xml:space="preserve">Each year as part of the service planning process, all service risks are reviewed, those no longer relevant are deleted, and any new ones are added.  In </w:t>
      </w:r>
      <w:r w:rsidR="005578C1">
        <w:rPr>
          <w:rFonts w:cs="Arial"/>
        </w:rPr>
        <w:t>quarter 1 of</w:t>
      </w:r>
      <w:r>
        <w:rPr>
          <w:rFonts w:cs="Arial"/>
        </w:rPr>
        <w:t xml:space="preserve"> 2015/16, the management of Council services was restructure</w:t>
      </w:r>
      <w:r w:rsidR="00DD2A1D">
        <w:rPr>
          <w:rFonts w:cs="Arial"/>
        </w:rPr>
        <w:t>d</w:t>
      </w:r>
      <w:r>
        <w:rPr>
          <w:rFonts w:cs="Arial"/>
        </w:rPr>
        <w:t xml:space="preserve"> and risks </w:t>
      </w:r>
      <w:r w:rsidR="005510D8">
        <w:rPr>
          <w:rFonts w:cs="Arial"/>
        </w:rPr>
        <w:t>were</w:t>
      </w:r>
      <w:r>
        <w:rPr>
          <w:rFonts w:cs="Arial"/>
        </w:rPr>
        <w:t xml:space="preserve"> </w:t>
      </w:r>
      <w:r w:rsidR="00C8067E">
        <w:rPr>
          <w:rFonts w:cs="Arial"/>
        </w:rPr>
        <w:t xml:space="preserve">subsequently </w:t>
      </w:r>
      <w:r>
        <w:rPr>
          <w:rFonts w:cs="Arial"/>
        </w:rPr>
        <w:t xml:space="preserve">moved between service areas </w:t>
      </w:r>
      <w:r w:rsidR="00993A4E">
        <w:rPr>
          <w:rFonts w:cs="Arial"/>
        </w:rPr>
        <w:t>and reassessed</w:t>
      </w:r>
      <w:r>
        <w:rPr>
          <w:rFonts w:cs="Arial"/>
        </w:rPr>
        <w:t xml:space="preserve">.  These refreshed </w:t>
      </w:r>
      <w:r w:rsidR="00DD2A1D">
        <w:rPr>
          <w:rFonts w:cs="Arial"/>
        </w:rPr>
        <w:t>S</w:t>
      </w:r>
      <w:r>
        <w:rPr>
          <w:rFonts w:cs="Arial"/>
        </w:rPr>
        <w:t xml:space="preserve">ervice </w:t>
      </w:r>
      <w:r w:rsidR="00DD2A1D">
        <w:rPr>
          <w:rFonts w:cs="Arial"/>
        </w:rPr>
        <w:t>R</w:t>
      </w:r>
      <w:r>
        <w:rPr>
          <w:rFonts w:cs="Arial"/>
        </w:rPr>
        <w:t xml:space="preserve">isk </w:t>
      </w:r>
      <w:r w:rsidR="00DD2A1D">
        <w:rPr>
          <w:rFonts w:cs="Arial"/>
        </w:rPr>
        <w:t>R</w:t>
      </w:r>
      <w:r>
        <w:rPr>
          <w:rFonts w:cs="Arial"/>
        </w:rPr>
        <w:t xml:space="preserve">egisters </w:t>
      </w:r>
      <w:r w:rsidR="00975552">
        <w:rPr>
          <w:rFonts w:cs="Arial"/>
        </w:rPr>
        <w:t xml:space="preserve">have been </w:t>
      </w:r>
      <w:r>
        <w:rPr>
          <w:rFonts w:cs="Arial"/>
        </w:rPr>
        <w:t xml:space="preserve">used for monitoring purposes </w:t>
      </w:r>
      <w:r w:rsidR="005578C1">
        <w:rPr>
          <w:rFonts w:cs="Arial"/>
        </w:rPr>
        <w:t>for the remainder of</w:t>
      </w:r>
      <w:r>
        <w:rPr>
          <w:rFonts w:cs="Arial"/>
        </w:rPr>
        <w:t xml:space="preserve"> the year.</w:t>
      </w:r>
    </w:p>
    <w:p w:rsidR="006D7D0D" w:rsidRDefault="006D7D0D" w:rsidP="006D7D0D">
      <w:pPr>
        <w:ind w:left="426"/>
        <w:rPr>
          <w:rFonts w:cs="Arial"/>
        </w:rPr>
      </w:pPr>
    </w:p>
    <w:p w:rsidR="006A651A" w:rsidRPr="006A651A" w:rsidRDefault="0078409C" w:rsidP="00A32A7B">
      <w:pPr>
        <w:numPr>
          <w:ilvl w:val="0"/>
          <w:numId w:val="1"/>
        </w:numPr>
        <w:ind w:left="426" w:hanging="426"/>
        <w:rPr>
          <w:rFonts w:cs="Arial"/>
        </w:rPr>
      </w:pPr>
      <w:r w:rsidRPr="006A651A">
        <w:rPr>
          <w:rFonts w:cs="Arial"/>
        </w:rPr>
        <w:t xml:space="preserve">The table below shows the number of </w:t>
      </w:r>
      <w:r w:rsidR="005578C1" w:rsidRPr="006A651A">
        <w:rPr>
          <w:rFonts w:cs="Arial"/>
        </w:rPr>
        <w:t xml:space="preserve">service </w:t>
      </w:r>
      <w:r w:rsidRPr="006A651A">
        <w:rPr>
          <w:rFonts w:cs="Arial"/>
        </w:rPr>
        <w:t xml:space="preserve">risks </w:t>
      </w:r>
      <w:r w:rsidR="005578C1" w:rsidRPr="006A651A">
        <w:rPr>
          <w:rFonts w:cs="Arial"/>
        </w:rPr>
        <w:t>in</w:t>
      </w:r>
      <w:r w:rsidRPr="006A651A">
        <w:rPr>
          <w:rFonts w:cs="Arial"/>
        </w:rPr>
        <w:t xml:space="preserve"> Q</w:t>
      </w:r>
      <w:r w:rsidR="008C526A" w:rsidRPr="006A651A">
        <w:rPr>
          <w:rFonts w:cs="Arial"/>
        </w:rPr>
        <w:t>4</w:t>
      </w:r>
      <w:r w:rsidRPr="006A651A">
        <w:rPr>
          <w:rFonts w:cs="Arial"/>
        </w:rPr>
        <w:t xml:space="preserve"> 2015/16 compared with the last 1</w:t>
      </w:r>
      <w:r w:rsidR="00DF0561" w:rsidRPr="006A651A">
        <w:rPr>
          <w:rFonts w:cs="Arial"/>
        </w:rPr>
        <w:t>2</w:t>
      </w:r>
      <w:r w:rsidRPr="006A651A">
        <w:rPr>
          <w:rFonts w:cs="Arial"/>
        </w:rPr>
        <w:t xml:space="preserve"> months. </w:t>
      </w:r>
      <w:r w:rsidR="00292826" w:rsidRPr="006A651A">
        <w:rPr>
          <w:rFonts w:cs="Arial"/>
        </w:rPr>
        <w:t xml:space="preserve"> </w:t>
      </w:r>
      <w:r w:rsidR="00EC68ED" w:rsidRPr="006A651A">
        <w:rPr>
          <w:rFonts w:cs="Arial"/>
        </w:rPr>
        <w:t>One</w:t>
      </w:r>
      <w:r w:rsidR="00292826" w:rsidRPr="006A651A">
        <w:rPr>
          <w:rFonts w:cs="Arial"/>
        </w:rPr>
        <w:t xml:space="preserve"> </w:t>
      </w:r>
      <w:r w:rsidRPr="006A651A">
        <w:rPr>
          <w:rFonts w:cs="Arial"/>
        </w:rPr>
        <w:t>risk ha</w:t>
      </w:r>
      <w:r w:rsidR="00EC68ED" w:rsidRPr="006A651A">
        <w:rPr>
          <w:rFonts w:cs="Arial"/>
        </w:rPr>
        <w:t>s</w:t>
      </w:r>
      <w:r w:rsidRPr="006A651A">
        <w:rPr>
          <w:rFonts w:cs="Arial"/>
        </w:rPr>
        <w:t xml:space="preserve"> been closed since the last quarter</w:t>
      </w:r>
      <w:r w:rsidR="00D3115F" w:rsidRPr="006A651A">
        <w:rPr>
          <w:rFonts w:cs="Arial"/>
        </w:rPr>
        <w:t xml:space="preserve"> </w:t>
      </w:r>
      <w:r w:rsidR="00A80CBD" w:rsidRPr="006A651A">
        <w:rPr>
          <w:rFonts w:cs="Arial"/>
        </w:rPr>
        <w:t>which related to w</w:t>
      </w:r>
      <w:r w:rsidR="00FA1CB7" w:rsidRPr="006A651A">
        <w:rPr>
          <w:rFonts w:cs="Arial"/>
        </w:rPr>
        <w:t xml:space="preserve">aste </w:t>
      </w:r>
      <w:r w:rsidR="00A80CBD" w:rsidRPr="006A651A">
        <w:rPr>
          <w:rFonts w:cs="Arial"/>
        </w:rPr>
        <w:t>disposal costs</w:t>
      </w:r>
      <w:r w:rsidR="00EA0274" w:rsidRPr="006A651A">
        <w:rPr>
          <w:rFonts w:cs="Arial"/>
        </w:rPr>
        <w:t xml:space="preserve">. This was a </w:t>
      </w:r>
      <w:r w:rsidR="00FB20D0" w:rsidRPr="006A651A">
        <w:rPr>
          <w:rFonts w:cs="Arial"/>
        </w:rPr>
        <w:t xml:space="preserve">financial </w:t>
      </w:r>
      <w:r w:rsidR="00EA0274" w:rsidRPr="006A651A">
        <w:rPr>
          <w:rFonts w:cs="Arial"/>
        </w:rPr>
        <w:t xml:space="preserve">risk which Direct Services have now </w:t>
      </w:r>
      <w:r w:rsidR="00FB20D0" w:rsidRPr="006A651A">
        <w:rPr>
          <w:rFonts w:cs="Arial"/>
        </w:rPr>
        <w:t xml:space="preserve">included within their </w:t>
      </w:r>
      <w:r w:rsidR="00EA0274" w:rsidRPr="006A651A">
        <w:rPr>
          <w:rFonts w:cs="Arial"/>
        </w:rPr>
        <w:t>base</w:t>
      </w:r>
      <w:r w:rsidR="00FB20D0" w:rsidRPr="006A651A">
        <w:rPr>
          <w:rFonts w:cs="Arial"/>
        </w:rPr>
        <w:t xml:space="preserve"> budget</w:t>
      </w:r>
      <w:r w:rsidR="00EA0274" w:rsidRPr="006A651A">
        <w:rPr>
          <w:rFonts w:cs="Arial"/>
        </w:rPr>
        <w:t xml:space="preserve">. </w:t>
      </w:r>
      <w:r w:rsidR="00933738" w:rsidRPr="006A651A">
        <w:rPr>
          <w:rFonts w:cs="Arial"/>
        </w:rPr>
        <w:t>The</w:t>
      </w:r>
      <w:r w:rsidR="006A651A" w:rsidRPr="006A651A">
        <w:rPr>
          <w:rFonts w:cs="Arial"/>
        </w:rPr>
        <w:t>re are no new risks.</w:t>
      </w:r>
    </w:p>
    <w:p w:rsidR="000C7E80" w:rsidRDefault="000C7E80" w:rsidP="000C7E80">
      <w:pPr>
        <w:pStyle w:val="ListParagraph"/>
        <w:rPr>
          <w:rFonts w:cs="Arial"/>
        </w:rPr>
      </w:pPr>
    </w:p>
    <w:tbl>
      <w:tblPr>
        <w:tblW w:w="6660" w:type="dxa"/>
        <w:tblInd w:w="720" w:type="dxa"/>
        <w:tblLook w:val="04A0" w:firstRow="1" w:lastRow="0" w:firstColumn="1" w:lastColumn="0" w:noHBand="0" w:noVBand="1"/>
      </w:tblPr>
      <w:tblGrid>
        <w:gridCol w:w="2180"/>
        <w:gridCol w:w="1120"/>
        <w:gridCol w:w="1120"/>
        <w:gridCol w:w="1120"/>
        <w:gridCol w:w="1120"/>
      </w:tblGrid>
      <w:tr w:rsidR="00DF0561" w:rsidRPr="005B360C" w:rsidTr="00DF0561">
        <w:trPr>
          <w:trHeight w:val="315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Current Risk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Q1 2015/16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Q2 2015/16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Q3 2015/16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Q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4</w:t>
            </w: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 xml:space="preserve"> 2015/16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C74E1F" w:rsidP="00C74E1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Amber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3</w:t>
            </w:r>
            <w:r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33969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C74E1F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  <w:r w:rsidR="00C74E1F">
              <w:rPr>
                <w:rFonts w:cs="Arial"/>
                <w:color w:val="000000"/>
                <w:lang w:eastAsia="en-GB"/>
              </w:rPr>
              <w:t>7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F27F1A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33</w:t>
            </w:r>
          </w:p>
        </w:tc>
      </w:tr>
      <w:tr w:rsidR="00DF0561" w:rsidRPr="005B360C" w:rsidTr="00DF0561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Total risks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F27F1A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 w:rsidRPr="005B360C">
              <w:rPr>
                <w:rFonts w:cs="Arial"/>
                <w:b/>
                <w:bCs/>
                <w:color w:val="000000"/>
                <w:lang w:eastAsia="en-GB"/>
              </w:rPr>
              <w:t>6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533969">
            <w:pPr>
              <w:jc w:val="right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62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New risks in quarter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  <w:r w:rsidRPr="005B360C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0</w:t>
            </w:r>
          </w:p>
        </w:tc>
      </w:tr>
      <w:tr w:rsidR="00DF0561" w:rsidRPr="005B360C" w:rsidTr="00DF056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561" w:rsidRPr="005B360C" w:rsidRDefault="00DF0561" w:rsidP="005B360C">
            <w:pPr>
              <w:rPr>
                <w:rFonts w:cs="Arial"/>
                <w:color w:val="000000"/>
                <w:lang w:eastAsia="en-GB"/>
              </w:rPr>
            </w:pPr>
            <w:r w:rsidRPr="005B360C">
              <w:rPr>
                <w:rFonts w:cs="Arial"/>
                <w:color w:val="000000"/>
                <w:lang w:eastAsia="en-GB"/>
              </w:rPr>
              <w:t>Closed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561" w:rsidRPr="005B360C" w:rsidRDefault="00DF0561" w:rsidP="00292826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F0561" w:rsidRPr="005B360C" w:rsidRDefault="00DF0561" w:rsidP="005B360C">
            <w:pPr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</w:t>
            </w:r>
          </w:p>
        </w:tc>
      </w:tr>
    </w:tbl>
    <w:p w:rsidR="005B360C" w:rsidRDefault="005B360C" w:rsidP="000C7E80">
      <w:pPr>
        <w:pStyle w:val="ListParagraph"/>
        <w:rPr>
          <w:rFonts w:cs="Arial"/>
        </w:rPr>
      </w:pPr>
    </w:p>
    <w:p w:rsidR="0039582D" w:rsidRDefault="0039582D" w:rsidP="000C7E80">
      <w:pPr>
        <w:pStyle w:val="ListParagraph"/>
        <w:rPr>
          <w:rFonts w:cs="Arial"/>
        </w:rPr>
      </w:pPr>
    </w:p>
    <w:p w:rsidR="008468E4" w:rsidRDefault="008468E4" w:rsidP="0039582D">
      <w:pPr>
        <w:ind w:left="567"/>
        <w:rPr>
          <w:rFonts w:cs="Arial"/>
        </w:rPr>
      </w:pPr>
    </w:p>
    <w:p w:rsidR="0090420B" w:rsidRDefault="0039582D" w:rsidP="0039582D">
      <w:pPr>
        <w:ind w:left="567"/>
        <w:rPr>
          <w:rFonts w:cs="Arial"/>
        </w:rPr>
      </w:pPr>
      <w:r w:rsidRPr="0039582D">
        <w:rPr>
          <w:rFonts w:cs="Arial"/>
        </w:rPr>
        <w:lastRenderedPageBreak/>
        <w:t xml:space="preserve">Five red risks from Q3 were reduced to amber at the end of March 2016 as follows: - </w:t>
      </w:r>
      <w:r w:rsidR="0090420B" w:rsidRPr="0039582D">
        <w:rPr>
          <w:rFonts w:cs="Arial"/>
        </w:rPr>
        <w:t xml:space="preserve"> </w:t>
      </w:r>
    </w:p>
    <w:p w:rsidR="008468E4" w:rsidRPr="0039582D" w:rsidRDefault="008468E4" w:rsidP="0039582D">
      <w:pPr>
        <w:ind w:left="567"/>
        <w:rPr>
          <w:rFonts w:cs="Arial"/>
        </w:rPr>
      </w:pPr>
    </w:p>
    <w:p w:rsidR="00FC454E" w:rsidRDefault="0090420B" w:rsidP="0090420B">
      <w:pPr>
        <w:pStyle w:val="ListParagraph"/>
        <w:numPr>
          <w:ilvl w:val="0"/>
          <w:numId w:val="23"/>
        </w:numPr>
        <w:ind w:left="992" w:hanging="425"/>
        <w:rPr>
          <w:rFonts w:cs="Arial"/>
        </w:rPr>
      </w:pPr>
      <w:r w:rsidRPr="00FC454E">
        <w:rPr>
          <w:rFonts w:cs="Arial"/>
        </w:rPr>
        <w:t>Housing and Property – relat</w:t>
      </w:r>
      <w:r w:rsidR="00E14CF2">
        <w:rPr>
          <w:rFonts w:cs="Arial"/>
        </w:rPr>
        <w:t xml:space="preserve">es </w:t>
      </w:r>
      <w:r w:rsidRPr="00FC454E">
        <w:rPr>
          <w:rFonts w:cs="Arial"/>
        </w:rPr>
        <w:t xml:space="preserve">to HRA Business Plan failure and the implications for social housing arising from the announcements contained in the Chancellor’s Summer Budget in July.  Changes have subsequently </w:t>
      </w:r>
      <w:r w:rsidR="008468E4" w:rsidRPr="00FC454E">
        <w:rPr>
          <w:rFonts w:cs="Arial"/>
        </w:rPr>
        <w:t>been made</w:t>
      </w:r>
      <w:r w:rsidRPr="00FC454E">
        <w:rPr>
          <w:rFonts w:cs="Arial"/>
        </w:rPr>
        <w:t xml:space="preserve"> to the HRA Business Plan as part of the Medium </w:t>
      </w:r>
      <w:r w:rsidR="00F54C77">
        <w:rPr>
          <w:rFonts w:cs="Arial"/>
        </w:rPr>
        <w:t xml:space="preserve">Term Financial Planning process. The </w:t>
      </w:r>
      <w:r w:rsidR="00FC454E" w:rsidRPr="00FC454E">
        <w:rPr>
          <w:rFonts w:cs="Arial"/>
        </w:rPr>
        <w:t>Council believes it has made sufficient financial provision to mitigate the effects of the Governments changes</w:t>
      </w:r>
      <w:r w:rsidR="00E14CF2">
        <w:rPr>
          <w:rFonts w:cs="Arial"/>
        </w:rPr>
        <w:t>.</w:t>
      </w:r>
    </w:p>
    <w:p w:rsidR="005669C0" w:rsidRPr="005669C0" w:rsidRDefault="005669C0" w:rsidP="005669C0">
      <w:pPr>
        <w:rPr>
          <w:rFonts w:cs="Arial"/>
        </w:rPr>
      </w:pPr>
    </w:p>
    <w:p w:rsidR="005669C0" w:rsidRPr="005669C0" w:rsidRDefault="0090420B" w:rsidP="005669C0">
      <w:pPr>
        <w:pStyle w:val="ListParagraph"/>
        <w:numPr>
          <w:ilvl w:val="0"/>
          <w:numId w:val="23"/>
        </w:numPr>
        <w:ind w:left="992" w:hanging="425"/>
        <w:rPr>
          <w:rFonts w:cs="Arial"/>
        </w:rPr>
      </w:pPr>
      <w:r w:rsidRPr="005669C0">
        <w:rPr>
          <w:rFonts w:cs="Arial"/>
        </w:rPr>
        <w:t>Planning and Regulatory – relat</w:t>
      </w:r>
      <w:r w:rsidR="001552B1" w:rsidRPr="005669C0">
        <w:rPr>
          <w:rFonts w:cs="Arial"/>
        </w:rPr>
        <w:t xml:space="preserve">es </w:t>
      </w:r>
      <w:r w:rsidRPr="005669C0">
        <w:rPr>
          <w:rFonts w:cs="Arial"/>
        </w:rPr>
        <w:t>to delays to Council projects caused by outside agencies including the County Council and national and regional Government and Government agencies</w:t>
      </w:r>
      <w:r w:rsidR="001552B1" w:rsidRPr="005669C0">
        <w:rPr>
          <w:rFonts w:cs="Arial"/>
        </w:rPr>
        <w:t xml:space="preserve">. </w:t>
      </w:r>
      <w:r w:rsidR="00E14CF2" w:rsidRPr="005669C0">
        <w:rPr>
          <w:rFonts w:cs="Arial"/>
        </w:rPr>
        <w:t>C</w:t>
      </w:r>
      <w:r w:rsidR="00896ADF" w:rsidRPr="005669C0">
        <w:rPr>
          <w:rFonts w:cs="Arial"/>
        </w:rPr>
        <w:t>ontinued</w:t>
      </w:r>
      <w:r w:rsidR="00E14CF2" w:rsidRPr="005669C0">
        <w:rPr>
          <w:rFonts w:cs="Arial"/>
        </w:rPr>
        <w:t xml:space="preserve"> m</w:t>
      </w:r>
      <w:r w:rsidR="00E14CF2" w:rsidRPr="005669C0">
        <w:rPr>
          <w:rFonts w:cs="Arial"/>
          <w:sz w:val="26"/>
          <w:szCs w:val="26"/>
        </w:rPr>
        <w:t xml:space="preserve">onitoring </w:t>
      </w:r>
      <w:r w:rsidR="00474C82" w:rsidRPr="005669C0">
        <w:rPr>
          <w:rFonts w:cs="Arial"/>
          <w:sz w:val="26"/>
          <w:szCs w:val="26"/>
        </w:rPr>
        <w:t xml:space="preserve">of the </w:t>
      </w:r>
      <w:r w:rsidR="00E14CF2" w:rsidRPr="005669C0">
        <w:rPr>
          <w:rFonts w:cs="Arial"/>
          <w:sz w:val="26"/>
          <w:szCs w:val="26"/>
        </w:rPr>
        <w:t xml:space="preserve">programmed projects </w:t>
      </w:r>
      <w:r w:rsidR="00474C82" w:rsidRPr="005669C0">
        <w:rPr>
          <w:rFonts w:cs="Arial"/>
          <w:sz w:val="26"/>
          <w:szCs w:val="26"/>
        </w:rPr>
        <w:t>has reduced the risk to amber.</w:t>
      </w:r>
      <w:r w:rsidR="001552B1" w:rsidRPr="005669C0">
        <w:rPr>
          <w:rFonts w:cs="Arial"/>
        </w:rPr>
        <w:t xml:space="preserve"> </w:t>
      </w:r>
    </w:p>
    <w:p w:rsidR="005669C0" w:rsidRPr="005669C0" w:rsidRDefault="005669C0" w:rsidP="005669C0">
      <w:pPr>
        <w:rPr>
          <w:rFonts w:cs="Arial"/>
        </w:rPr>
      </w:pPr>
    </w:p>
    <w:p w:rsidR="0090420B" w:rsidRPr="00C67319" w:rsidRDefault="0090420B" w:rsidP="0090420B">
      <w:pPr>
        <w:pStyle w:val="ListParagraph"/>
        <w:numPr>
          <w:ilvl w:val="0"/>
          <w:numId w:val="23"/>
        </w:numPr>
        <w:ind w:left="992" w:hanging="425"/>
        <w:rPr>
          <w:rFonts w:cs="Arial"/>
        </w:rPr>
      </w:pPr>
      <w:r w:rsidRPr="00C67319">
        <w:rPr>
          <w:rFonts w:cs="Arial"/>
        </w:rPr>
        <w:t>Planning and Regulatory – relat</w:t>
      </w:r>
      <w:r w:rsidR="00896ADF" w:rsidRPr="00C67319">
        <w:rPr>
          <w:rFonts w:cs="Arial"/>
        </w:rPr>
        <w:t>es</w:t>
      </w:r>
      <w:r w:rsidRPr="00C67319">
        <w:rPr>
          <w:rFonts w:cs="Arial"/>
        </w:rPr>
        <w:t xml:space="preserve"> to changes in the planning system arising from major changes in legislation</w:t>
      </w:r>
      <w:r w:rsidR="00E14CF2" w:rsidRPr="00B4776F">
        <w:rPr>
          <w:rFonts w:cs="Arial"/>
        </w:rPr>
        <w:t>.</w:t>
      </w:r>
      <w:r w:rsidR="00E14CF2" w:rsidRPr="004B63C5">
        <w:rPr>
          <w:rFonts w:cs="Arial"/>
        </w:rPr>
        <w:t xml:space="preserve">  </w:t>
      </w:r>
      <w:r w:rsidR="00474C82" w:rsidRPr="004B63C5">
        <w:rPr>
          <w:rFonts w:cs="Arial"/>
        </w:rPr>
        <w:t>The Council is making</w:t>
      </w:r>
      <w:r w:rsidR="00E14CF2" w:rsidRPr="00910CFB">
        <w:rPr>
          <w:rFonts w:cs="Arial"/>
          <w:color w:val="FF0000"/>
        </w:rPr>
        <w:t xml:space="preserve"> </w:t>
      </w:r>
      <w:r w:rsidR="00E14CF2" w:rsidRPr="00910CFB">
        <w:rPr>
          <w:rFonts w:cs="Arial"/>
        </w:rPr>
        <w:t>robust representations to Government where appropriate and maintaining dialogue with groups wishing to bring forward Neighbourhood Plans</w:t>
      </w:r>
      <w:r w:rsidR="00474C82" w:rsidRPr="00910CFB">
        <w:rPr>
          <w:rFonts w:cs="Arial"/>
        </w:rPr>
        <w:t xml:space="preserve"> which has reduced the risk to amber</w:t>
      </w:r>
      <w:r w:rsidR="00E14CF2" w:rsidRPr="00910CFB">
        <w:rPr>
          <w:rFonts w:cs="Arial"/>
        </w:rPr>
        <w:t>.</w:t>
      </w:r>
    </w:p>
    <w:p w:rsidR="005669C0" w:rsidRPr="00C67319" w:rsidRDefault="005669C0" w:rsidP="005669C0">
      <w:pPr>
        <w:rPr>
          <w:rFonts w:cs="Arial"/>
        </w:rPr>
      </w:pPr>
    </w:p>
    <w:p w:rsidR="005669C0" w:rsidRPr="00C67319" w:rsidRDefault="0090420B" w:rsidP="005669C0">
      <w:pPr>
        <w:pStyle w:val="ListParagraph"/>
        <w:numPr>
          <w:ilvl w:val="0"/>
          <w:numId w:val="23"/>
        </w:numPr>
        <w:ind w:left="992" w:hanging="425"/>
        <w:rPr>
          <w:rFonts w:cs="Arial"/>
        </w:rPr>
      </w:pPr>
      <w:r w:rsidRPr="00C67319">
        <w:rPr>
          <w:rFonts w:cs="Arial"/>
        </w:rPr>
        <w:t>Planning and Regulatory – relat</w:t>
      </w:r>
      <w:r w:rsidR="00FF128D" w:rsidRPr="00C67319">
        <w:rPr>
          <w:rFonts w:cs="Arial"/>
        </w:rPr>
        <w:t>es to</w:t>
      </w:r>
      <w:r w:rsidRPr="00C67319">
        <w:rPr>
          <w:rFonts w:cs="Arial"/>
        </w:rPr>
        <w:t xml:space="preserve"> major opposition to emerging statutory plans.</w:t>
      </w:r>
      <w:r w:rsidR="00E14CF2" w:rsidRPr="00910CFB">
        <w:rPr>
          <w:rFonts w:cs="Arial"/>
          <w:color w:val="000000"/>
        </w:rPr>
        <w:t xml:space="preserve"> </w:t>
      </w:r>
      <w:r w:rsidR="0045677C" w:rsidRPr="00910CFB">
        <w:rPr>
          <w:rFonts w:cs="Arial"/>
        </w:rPr>
        <w:t xml:space="preserve">Action </w:t>
      </w:r>
      <w:r w:rsidR="00474C82" w:rsidRPr="00910CFB">
        <w:rPr>
          <w:rFonts w:cs="Arial"/>
        </w:rPr>
        <w:t xml:space="preserve">is now </w:t>
      </w:r>
      <w:r w:rsidR="0045677C" w:rsidRPr="00910CFB">
        <w:rPr>
          <w:rFonts w:cs="Arial"/>
        </w:rPr>
        <w:t>being taken to r</w:t>
      </w:r>
      <w:r w:rsidR="00E14CF2" w:rsidRPr="00910CFB">
        <w:rPr>
          <w:rFonts w:cs="Arial"/>
        </w:rPr>
        <w:t>aise quality of community engagement as far as possible within available resources to address community concerns</w:t>
      </w:r>
      <w:r w:rsidR="0045677C" w:rsidRPr="00910CFB">
        <w:rPr>
          <w:rFonts w:cs="Arial"/>
        </w:rPr>
        <w:t>.</w:t>
      </w:r>
    </w:p>
    <w:p w:rsidR="005669C0" w:rsidRPr="005669C0" w:rsidRDefault="005669C0" w:rsidP="005669C0">
      <w:pPr>
        <w:rPr>
          <w:rFonts w:cs="Arial"/>
        </w:rPr>
      </w:pPr>
    </w:p>
    <w:p w:rsidR="0090420B" w:rsidRPr="00474C82" w:rsidRDefault="0090420B" w:rsidP="0090420B">
      <w:pPr>
        <w:pStyle w:val="ListParagraph"/>
        <w:numPr>
          <w:ilvl w:val="0"/>
          <w:numId w:val="23"/>
        </w:numPr>
        <w:ind w:left="992" w:hanging="425"/>
        <w:rPr>
          <w:rFonts w:cs="Arial"/>
        </w:rPr>
      </w:pPr>
      <w:r w:rsidRPr="0045677C">
        <w:rPr>
          <w:rFonts w:cs="Arial"/>
        </w:rPr>
        <w:t>Planning and Regulatory – relat</w:t>
      </w:r>
      <w:r w:rsidR="00FF128D">
        <w:rPr>
          <w:rFonts w:cs="Arial"/>
        </w:rPr>
        <w:t>es</w:t>
      </w:r>
      <w:r w:rsidRPr="0045677C">
        <w:rPr>
          <w:rFonts w:cs="Arial"/>
        </w:rPr>
        <w:t xml:space="preserve"> to partnership challenges especially in relation to the Oxford Growth Strategy and the inability to reach agreement with external partners.</w:t>
      </w:r>
      <w:r w:rsidR="0045677C" w:rsidRPr="0045677C">
        <w:rPr>
          <w:rFonts w:cs="Arial"/>
          <w:color w:val="000000"/>
          <w:sz w:val="26"/>
          <w:szCs w:val="26"/>
        </w:rPr>
        <w:t xml:space="preserve"> </w:t>
      </w:r>
      <w:r w:rsidR="00896ADF" w:rsidRPr="00474C82">
        <w:rPr>
          <w:rFonts w:cs="Arial"/>
          <w:sz w:val="26"/>
          <w:szCs w:val="26"/>
        </w:rPr>
        <w:t>S</w:t>
      </w:r>
      <w:r w:rsidR="0045677C" w:rsidRPr="00474C82">
        <w:rPr>
          <w:rFonts w:cs="Arial"/>
          <w:sz w:val="26"/>
          <w:szCs w:val="26"/>
        </w:rPr>
        <w:t xml:space="preserve">trategy work is </w:t>
      </w:r>
      <w:r w:rsidR="00896ADF" w:rsidRPr="00474C82">
        <w:rPr>
          <w:rFonts w:cs="Arial"/>
          <w:sz w:val="26"/>
          <w:szCs w:val="26"/>
        </w:rPr>
        <w:t xml:space="preserve">being </w:t>
      </w:r>
      <w:r w:rsidR="0045677C" w:rsidRPr="00474C82">
        <w:rPr>
          <w:rFonts w:cs="Arial"/>
          <w:sz w:val="26"/>
          <w:szCs w:val="26"/>
        </w:rPr>
        <w:t xml:space="preserve">supported, programmes are monitored and pace is </w:t>
      </w:r>
      <w:r w:rsidR="00474C82" w:rsidRPr="00474C82">
        <w:rPr>
          <w:rFonts w:cs="Arial"/>
          <w:sz w:val="26"/>
          <w:szCs w:val="26"/>
        </w:rPr>
        <w:t xml:space="preserve">being </w:t>
      </w:r>
      <w:r w:rsidR="0045677C" w:rsidRPr="00474C82">
        <w:rPr>
          <w:rFonts w:cs="Arial"/>
          <w:sz w:val="26"/>
          <w:szCs w:val="26"/>
        </w:rPr>
        <w:t>maintained with partners and partner councils</w:t>
      </w:r>
    </w:p>
    <w:p w:rsidR="0090420B" w:rsidRPr="00B227BD" w:rsidRDefault="0090420B" w:rsidP="0090420B">
      <w:pPr>
        <w:ind w:left="426"/>
        <w:rPr>
          <w:rFonts w:cs="Arial"/>
        </w:rPr>
      </w:pPr>
    </w:p>
    <w:p w:rsidR="007E4211" w:rsidRPr="00C74E1F" w:rsidRDefault="007E4211" w:rsidP="0090420B">
      <w:pPr>
        <w:ind w:left="510"/>
        <w:rPr>
          <w:rFonts w:cs="Arial"/>
        </w:rPr>
      </w:pPr>
    </w:p>
    <w:p w:rsidR="009878B0" w:rsidRDefault="009878B0" w:rsidP="009878B0">
      <w:pPr>
        <w:ind w:left="-30"/>
        <w:rPr>
          <w:rFonts w:cs="Arial"/>
        </w:rPr>
      </w:pPr>
      <w:r w:rsidRPr="009878B0">
        <w:rPr>
          <w:rFonts w:cs="Arial"/>
        </w:rPr>
        <w:t>There were two red risks at the end of March 2016 as follows:-</w:t>
      </w:r>
    </w:p>
    <w:p w:rsidR="009878B0" w:rsidRDefault="009878B0" w:rsidP="009878B0">
      <w:pPr>
        <w:ind w:left="-30"/>
        <w:rPr>
          <w:rFonts w:cs="Arial"/>
        </w:rPr>
      </w:pPr>
    </w:p>
    <w:p w:rsidR="00F54C77" w:rsidRDefault="009878B0" w:rsidP="009878B0">
      <w:pPr>
        <w:pStyle w:val="ListParagraph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Housing and property – relates to increased costs of homelessness arising from less effective homelessness prevention work and higher homelessness acceptance</w:t>
      </w:r>
    </w:p>
    <w:p w:rsidR="005669C0" w:rsidRPr="005669C0" w:rsidRDefault="005669C0" w:rsidP="005669C0">
      <w:pPr>
        <w:jc w:val="both"/>
        <w:rPr>
          <w:rFonts w:cs="Arial"/>
        </w:rPr>
      </w:pPr>
    </w:p>
    <w:p w:rsidR="008468E4" w:rsidRPr="00910CFB" w:rsidRDefault="00F54C77" w:rsidP="005510D8">
      <w:pPr>
        <w:pStyle w:val="ListParagraph"/>
        <w:numPr>
          <w:ilvl w:val="0"/>
          <w:numId w:val="31"/>
        </w:numPr>
        <w:ind w:left="426"/>
        <w:jc w:val="both"/>
        <w:rPr>
          <w:rFonts w:cs="Arial"/>
          <w:u w:val="single"/>
        </w:rPr>
      </w:pPr>
      <w:r w:rsidRPr="00910CFB">
        <w:rPr>
          <w:rFonts w:cs="Arial"/>
        </w:rPr>
        <w:t>Planning and regulatory – relates to service failure due to ICT outages resulting in a red</w:t>
      </w:r>
      <w:r w:rsidR="008468E4" w:rsidRPr="00910CFB">
        <w:rPr>
          <w:rFonts w:cs="Arial"/>
        </w:rPr>
        <w:t>u</w:t>
      </w:r>
      <w:r w:rsidRPr="00910CFB">
        <w:rPr>
          <w:rFonts w:cs="Arial"/>
        </w:rPr>
        <w:t>ced service to customers</w:t>
      </w:r>
      <w:r w:rsidR="009878B0" w:rsidRPr="00910CFB">
        <w:rPr>
          <w:rFonts w:cs="Arial"/>
        </w:rPr>
        <w:t>.</w:t>
      </w:r>
    </w:p>
    <w:p w:rsidR="00821EB6" w:rsidRDefault="00821EB6" w:rsidP="005510D8">
      <w:pPr>
        <w:ind w:left="426"/>
        <w:rPr>
          <w:rFonts w:cs="Arial"/>
          <w:u w:val="single"/>
        </w:rPr>
      </w:pPr>
    </w:p>
    <w:p w:rsidR="008468E4" w:rsidRDefault="008468E4" w:rsidP="000F409C">
      <w:pPr>
        <w:rPr>
          <w:rFonts w:cs="Arial"/>
          <w:b/>
        </w:rPr>
      </w:pPr>
    </w:p>
    <w:p w:rsidR="008468E4" w:rsidRDefault="008468E4" w:rsidP="000F409C">
      <w:pPr>
        <w:rPr>
          <w:rFonts w:cs="Arial"/>
          <w:b/>
        </w:rPr>
      </w:pPr>
    </w:p>
    <w:p w:rsidR="00B647CA" w:rsidRDefault="00B647CA" w:rsidP="000F409C">
      <w:pPr>
        <w:rPr>
          <w:rFonts w:cs="Arial"/>
          <w:b/>
        </w:rPr>
      </w:pPr>
      <w:r>
        <w:rPr>
          <w:rFonts w:cs="Arial"/>
          <w:b/>
        </w:rPr>
        <w:t>Climate Change / Environmental Impact</w:t>
      </w:r>
    </w:p>
    <w:p w:rsidR="00B647CA" w:rsidRPr="006F4BA2" w:rsidRDefault="00B647CA" w:rsidP="00BD4A81">
      <w:pPr>
        <w:numPr>
          <w:ilvl w:val="0"/>
          <w:numId w:val="1"/>
        </w:numPr>
        <w:ind w:left="426" w:hanging="426"/>
        <w:rPr>
          <w:rFonts w:cs="Arial"/>
        </w:rPr>
      </w:pPr>
      <w:r w:rsidRPr="006F4BA2">
        <w:rPr>
          <w:rFonts w:cs="Arial"/>
        </w:rPr>
        <w:t>There are no issues arising directly from this report</w:t>
      </w:r>
    </w:p>
    <w:p w:rsidR="00B647CA" w:rsidRPr="006F4BA2" w:rsidRDefault="00B647CA" w:rsidP="006F4BA2">
      <w:pPr>
        <w:ind w:left="426"/>
        <w:rPr>
          <w:rFonts w:cs="Arial"/>
        </w:rPr>
      </w:pPr>
    </w:p>
    <w:p w:rsidR="00B647CA" w:rsidRDefault="00B647CA" w:rsidP="006F4BA2">
      <w:pPr>
        <w:rPr>
          <w:rFonts w:cs="Arial"/>
          <w:b/>
        </w:rPr>
      </w:pPr>
      <w:r w:rsidRPr="00B647CA">
        <w:rPr>
          <w:rFonts w:cs="Arial"/>
          <w:b/>
        </w:rPr>
        <w:t>Equalities impact</w:t>
      </w:r>
    </w:p>
    <w:p w:rsidR="00B647CA" w:rsidRPr="006F4BA2" w:rsidRDefault="00B647CA" w:rsidP="00BD4A81">
      <w:pPr>
        <w:numPr>
          <w:ilvl w:val="0"/>
          <w:numId w:val="1"/>
        </w:numPr>
        <w:ind w:left="426" w:hanging="426"/>
        <w:rPr>
          <w:rFonts w:cs="Arial"/>
        </w:rPr>
      </w:pPr>
      <w:r w:rsidRPr="006F4BA2">
        <w:rPr>
          <w:rFonts w:cs="Arial"/>
        </w:rPr>
        <w:t>There are no equalities impacts arising directly from this report</w:t>
      </w:r>
    </w:p>
    <w:p w:rsidR="006F4BA2" w:rsidRPr="006F4BA2" w:rsidRDefault="006F4BA2" w:rsidP="006F4BA2">
      <w:pPr>
        <w:rPr>
          <w:rFonts w:cs="Arial"/>
        </w:rPr>
      </w:pPr>
    </w:p>
    <w:p w:rsidR="00B647CA" w:rsidRDefault="00B647CA" w:rsidP="006F4BA2">
      <w:pPr>
        <w:rPr>
          <w:rFonts w:cs="Arial"/>
          <w:b/>
        </w:rPr>
      </w:pPr>
      <w:r w:rsidRPr="00B647CA">
        <w:rPr>
          <w:rFonts w:cs="Arial"/>
          <w:b/>
        </w:rPr>
        <w:t>Financial Implications</w:t>
      </w:r>
    </w:p>
    <w:p w:rsidR="00B647CA" w:rsidRPr="006F4BA2" w:rsidRDefault="006D7D0D" w:rsidP="00BD4A81">
      <w:pPr>
        <w:numPr>
          <w:ilvl w:val="0"/>
          <w:numId w:val="1"/>
        </w:numPr>
        <w:ind w:left="426" w:hanging="426"/>
        <w:rPr>
          <w:rFonts w:cs="Arial"/>
        </w:rPr>
      </w:pPr>
      <w:r w:rsidRPr="006D7D0D">
        <w:rPr>
          <w:rFonts w:cs="Arial"/>
        </w:rPr>
        <w:t xml:space="preserve">The </w:t>
      </w:r>
      <w:r w:rsidR="00922818">
        <w:rPr>
          <w:rFonts w:cs="Arial"/>
        </w:rPr>
        <w:t>r</w:t>
      </w:r>
      <w:r w:rsidRPr="006D7D0D">
        <w:rPr>
          <w:rFonts w:cs="Arial"/>
        </w:rPr>
        <w:t>obust management of risk should assist in mitigating the financial impact to the</w:t>
      </w:r>
      <w:r>
        <w:rPr>
          <w:rFonts w:cs="Arial"/>
        </w:rPr>
        <w:t xml:space="preserve"> Council should the event occur</w:t>
      </w:r>
      <w:r w:rsidR="00B647CA" w:rsidRPr="006F4BA2">
        <w:rPr>
          <w:rFonts w:cs="Arial"/>
        </w:rPr>
        <w:t>.</w:t>
      </w:r>
    </w:p>
    <w:p w:rsidR="00714894" w:rsidRPr="006F4BA2" w:rsidRDefault="00714894" w:rsidP="00445174">
      <w:pPr>
        <w:rPr>
          <w:rFonts w:cs="Arial"/>
        </w:rPr>
      </w:pPr>
    </w:p>
    <w:p w:rsidR="00445174" w:rsidRDefault="005044C6" w:rsidP="00445174">
      <w:pPr>
        <w:rPr>
          <w:rFonts w:cs="Arial"/>
          <w:b/>
        </w:rPr>
      </w:pPr>
      <w:r w:rsidRPr="005044C6">
        <w:rPr>
          <w:rFonts w:cs="Arial"/>
          <w:b/>
        </w:rPr>
        <w:t>Legal Implications</w:t>
      </w:r>
    </w:p>
    <w:p w:rsidR="005044C6" w:rsidRPr="000C7E80" w:rsidRDefault="005044C6" w:rsidP="00BD4A81">
      <w:pPr>
        <w:numPr>
          <w:ilvl w:val="0"/>
          <w:numId w:val="1"/>
        </w:numPr>
        <w:ind w:left="426" w:hanging="426"/>
        <w:rPr>
          <w:rFonts w:cs="Arial"/>
          <w:b/>
        </w:rPr>
      </w:pPr>
      <w:r>
        <w:rPr>
          <w:rFonts w:cs="Arial"/>
        </w:rPr>
        <w:t>There are no legal implications directly relevant to this report</w:t>
      </w:r>
      <w:r w:rsidR="006D7D0D" w:rsidRPr="006D7D0D">
        <w:rPr>
          <w:rFonts w:cs="Arial"/>
        </w:rPr>
        <w:t xml:space="preserve"> but having proper arrangements to manage risk throughout the organisation is an important component of corporate governance</w:t>
      </w:r>
      <w:r>
        <w:rPr>
          <w:rFonts w:cs="Arial"/>
        </w:rPr>
        <w:t>.</w:t>
      </w:r>
    </w:p>
    <w:p w:rsidR="000C7E80" w:rsidRPr="006F4BA2" w:rsidRDefault="000C7E80" w:rsidP="000C7E80">
      <w:pPr>
        <w:ind w:left="426"/>
        <w:rPr>
          <w:rFonts w:cs="Arial"/>
          <w:b/>
        </w:rPr>
      </w:pPr>
    </w:p>
    <w:p w:rsidR="00714894" w:rsidRPr="006E1B35" w:rsidRDefault="00714894" w:rsidP="006F4BA2">
      <w:pPr>
        <w:ind w:left="426"/>
        <w:rPr>
          <w:rFonts w:cs="Arial"/>
          <w:b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64"/>
      </w:tblGrid>
      <w:tr w:rsidR="005D4C4D">
        <w:trPr>
          <w:trHeight w:val="270"/>
        </w:trPr>
        <w:tc>
          <w:tcPr>
            <w:tcW w:w="9664" w:type="dxa"/>
          </w:tcPr>
          <w:p w:rsidR="005D4C4D" w:rsidRDefault="005D4C4D" w:rsidP="005D4C4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5D4C4D">
        <w:trPr>
          <w:trHeight w:val="285"/>
        </w:trPr>
        <w:tc>
          <w:tcPr>
            <w:tcW w:w="9664" w:type="dxa"/>
          </w:tcPr>
          <w:p w:rsidR="005D4C4D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Name:  </w:t>
            </w:r>
            <w:r w:rsidR="00347697">
              <w:t>Alison Nash</w:t>
            </w:r>
          </w:p>
        </w:tc>
      </w:tr>
      <w:tr w:rsidR="005D4C4D">
        <w:trPr>
          <w:trHeight w:val="270"/>
        </w:trPr>
        <w:tc>
          <w:tcPr>
            <w:tcW w:w="9664" w:type="dxa"/>
          </w:tcPr>
          <w:p w:rsidR="005D4C4D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Job title:  </w:t>
            </w:r>
            <w:r w:rsidR="006E1B35">
              <w:t>Financ</w:t>
            </w:r>
            <w:r w:rsidR="00347697">
              <w:t>e Officer (Insurance)</w:t>
            </w:r>
          </w:p>
        </w:tc>
      </w:tr>
      <w:tr w:rsidR="005D4C4D">
        <w:trPr>
          <w:trHeight w:val="270"/>
        </w:trPr>
        <w:tc>
          <w:tcPr>
            <w:tcW w:w="9664" w:type="dxa"/>
          </w:tcPr>
          <w:p w:rsidR="005D4C4D" w:rsidRDefault="005D4C4D" w:rsidP="0098273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Department:  Financ</w:t>
            </w:r>
            <w:r w:rsidR="00B949C8">
              <w:t>ial Services</w:t>
            </w:r>
          </w:p>
        </w:tc>
      </w:tr>
      <w:tr w:rsidR="005D4C4D" w:rsidRPr="00B7705C">
        <w:trPr>
          <w:trHeight w:val="570"/>
        </w:trPr>
        <w:tc>
          <w:tcPr>
            <w:tcW w:w="9664" w:type="dxa"/>
          </w:tcPr>
          <w:p w:rsidR="005D4C4D" w:rsidRPr="0098273F" w:rsidRDefault="005D4C4D" w:rsidP="003476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u w:val="single"/>
                <w:lang w:val="de-DE"/>
              </w:rPr>
            </w:pPr>
            <w:r w:rsidRPr="0098273F">
              <w:rPr>
                <w:lang w:val="de-DE"/>
              </w:rPr>
              <w:t>Tel:  01865 252</w:t>
            </w:r>
            <w:r w:rsidR="00347697">
              <w:rPr>
                <w:lang w:val="de-DE"/>
              </w:rPr>
              <w:t>048</w:t>
            </w:r>
            <w:r w:rsidRPr="0098273F">
              <w:rPr>
                <w:lang w:val="de-DE"/>
              </w:rPr>
              <w:t xml:space="preserve">  e-mail:  </w:t>
            </w:r>
            <w:r w:rsidR="00347697">
              <w:rPr>
                <w:lang w:val="de-DE"/>
              </w:rPr>
              <w:t>anash</w:t>
            </w:r>
            <w:r w:rsidR="0098273F" w:rsidRPr="0098273F">
              <w:rPr>
                <w:lang w:val="de-DE"/>
              </w:rPr>
              <w:t>@oxford.gov.uk</w:t>
            </w:r>
          </w:p>
        </w:tc>
      </w:tr>
    </w:tbl>
    <w:p w:rsidR="005D4C4D" w:rsidRPr="00B7705C" w:rsidRDefault="005D4C4D" w:rsidP="005D4C4D">
      <w:pPr>
        <w:rPr>
          <w:rFonts w:cs="Arial"/>
          <w:b/>
          <w:bCs/>
          <w:sz w:val="20"/>
          <w:lang w:val="de-DE"/>
        </w:rPr>
      </w:pPr>
    </w:p>
    <w:p w:rsidR="005064F0" w:rsidRDefault="005D4C4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List of background papers: </w:t>
      </w:r>
      <w:r w:rsidR="000F72BC">
        <w:rPr>
          <w:rFonts w:cs="Arial"/>
          <w:b/>
          <w:bCs/>
        </w:rPr>
        <w:t>N</w:t>
      </w:r>
      <w:r w:rsidR="00815488">
        <w:rPr>
          <w:rFonts w:cs="Arial"/>
          <w:b/>
          <w:bCs/>
        </w:rPr>
        <w:t>one.</w:t>
      </w:r>
    </w:p>
    <w:sectPr w:rsidR="005064F0" w:rsidSect="00A32A7B">
      <w:pgSz w:w="11906" w:h="16838"/>
      <w:pgMar w:top="851" w:right="1797" w:bottom="1440" w:left="179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0C" w:rsidRDefault="005B6F0C">
      <w:r>
        <w:separator/>
      </w:r>
    </w:p>
  </w:endnote>
  <w:endnote w:type="continuationSeparator" w:id="0">
    <w:p w:rsidR="005B6F0C" w:rsidRDefault="005B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0C" w:rsidRDefault="005B6F0C">
      <w:r>
        <w:separator/>
      </w:r>
    </w:p>
  </w:footnote>
  <w:footnote w:type="continuationSeparator" w:id="0">
    <w:p w:rsidR="005B6F0C" w:rsidRDefault="005B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53"/>
    <w:multiLevelType w:val="hybridMultilevel"/>
    <w:tmpl w:val="D06A042A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D80FEA"/>
    <w:multiLevelType w:val="hybridMultilevel"/>
    <w:tmpl w:val="625E3F22"/>
    <w:lvl w:ilvl="0" w:tplc="D6CCF95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73"/>
    <w:multiLevelType w:val="hybridMultilevel"/>
    <w:tmpl w:val="DD325254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10E5574C"/>
    <w:multiLevelType w:val="hybridMultilevel"/>
    <w:tmpl w:val="67A8F00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9354EF0"/>
    <w:multiLevelType w:val="hybridMultilevel"/>
    <w:tmpl w:val="E81AC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0523"/>
    <w:multiLevelType w:val="hybridMultilevel"/>
    <w:tmpl w:val="86CCB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6692E"/>
    <w:multiLevelType w:val="hybridMultilevel"/>
    <w:tmpl w:val="B34268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5C40CB"/>
    <w:multiLevelType w:val="hybridMultilevel"/>
    <w:tmpl w:val="5A6A14A2"/>
    <w:lvl w:ilvl="0" w:tplc="8140081C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0F032D"/>
    <w:multiLevelType w:val="hybridMultilevel"/>
    <w:tmpl w:val="0BECB426"/>
    <w:lvl w:ilvl="0" w:tplc="08090019">
      <w:start w:val="1"/>
      <w:numFmt w:val="lowerLetter"/>
      <w:lvlText w:val="%1."/>
      <w:lvlJc w:val="left"/>
      <w:pPr>
        <w:ind w:left="1701" w:hanging="360"/>
      </w:pPr>
    </w:lvl>
    <w:lvl w:ilvl="1" w:tplc="08090019" w:tentative="1">
      <w:start w:val="1"/>
      <w:numFmt w:val="lowerLetter"/>
      <w:lvlText w:val="%2."/>
      <w:lvlJc w:val="left"/>
      <w:pPr>
        <w:ind w:left="2421" w:hanging="360"/>
      </w:pPr>
    </w:lvl>
    <w:lvl w:ilvl="2" w:tplc="0809001B" w:tentative="1">
      <w:start w:val="1"/>
      <w:numFmt w:val="lowerRoman"/>
      <w:lvlText w:val="%3."/>
      <w:lvlJc w:val="right"/>
      <w:pPr>
        <w:ind w:left="3141" w:hanging="180"/>
      </w:pPr>
    </w:lvl>
    <w:lvl w:ilvl="3" w:tplc="0809000F" w:tentative="1">
      <w:start w:val="1"/>
      <w:numFmt w:val="decimal"/>
      <w:lvlText w:val="%4."/>
      <w:lvlJc w:val="left"/>
      <w:pPr>
        <w:ind w:left="3861" w:hanging="360"/>
      </w:pPr>
    </w:lvl>
    <w:lvl w:ilvl="4" w:tplc="08090019" w:tentative="1">
      <w:start w:val="1"/>
      <w:numFmt w:val="lowerLetter"/>
      <w:lvlText w:val="%5."/>
      <w:lvlJc w:val="left"/>
      <w:pPr>
        <w:ind w:left="4581" w:hanging="360"/>
      </w:pPr>
    </w:lvl>
    <w:lvl w:ilvl="5" w:tplc="0809001B" w:tentative="1">
      <w:start w:val="1"/>
      <w:numFmt w:val="lowerRoman"/>
      <w:lvlText w:val="%6."/>
      <w:lvlJc w:val="right"/>
      <w:pPr>
        <w:ind w:left="5301" w:hanging="180"/>
      </w:pPr>
    </w:lvl>
    <w:lvl w:ilvl="6" w:tplc="0809000F" w:tentative="1">
      <w:start w:val="1"/>
      <w:numFmt w:val="decimal"/>
      <w:lvlText w:val="%7."/>
      <w:lvlJc w:val="left"/>
      <w:pPr>
        <w:ind w:left="6021" w:hanging="360"/>
      </w:pPr>
    </w:lvl>
    <w:lvl w:ilvl="7" w:tplc="08090019" w:tentative="1">
      <w:start w:val="1"/>
      <w:numFmt w:val="lowerLetter"/>
      <w:lvlText w:val="%8."/>
      <w:lvlJc w:val="left"/>
      <w:pPr>
        <w:ind w:left="6741" w:hanging="360"/>
      </w:pPr>
    </w:lvl>
    <w:lvl w:ilvl="8" w:tplc="0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9">
    <w:nsid w:val="2DE5733D"/>
    <w:multiLevelType w:val="hybridMultilevel"/>
    <w:tmpl w:val="72FE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B5406"/>
    <w:multiLevelType w:val="hybridMultilevel"/>
    <w:tmpl w:val="4518F4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B931ED"/>
    <w:multiLevelType w:val="hybridMultilevel"/>
    <w:tmpl w:val="273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C4C28"/>
    <w:multiLevelType w:val="hybridMultilevel"/>
    <w:tmpl w:val="C3E0210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F432177"/>
    <w:multiLevelType w:val="hybridMultilevel"/>
    <w:tmpl w:val="6C08E94C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4">
    <w:nsid w:val="3F513F67"/>
    <w:multiLevelType w:val="hybridMultilevel"/>
    <w:tmpl w:val="3E5CAD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E24961"/>
    <w:multiLevelType w:val="hybridMultilevel"/>
    <w:tmpl w:val="CFF8DEDE"/>
    <w:lvl w:ilvl="0" w:tplc="D6CCF95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B0257"/>
    <w:multiLevelType w:val="hybridMultilevel"/>
    <w:tmpl w:val="FEE8B036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47B77064"/>
    <w:multiLevelType w:val="hybridMultilevel"/>
    <w:tmpl w:val="FAF635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F650F48"/>
    <w:multiLevelType w:val="hybridMultilevel"/>
    <w:tmpl w:val="008436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39E1D9C"/>
    <w:multiLevelType w:val="hybridMultilevel"/>
    <w:tmpl w:val="D2A49218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50038"/>
    <w:multiLevelType w:val="hybridMultilevel"/>
    <w:tmpl w:val="1C567F1E"/>
    <w:lvl w:ilvl="0" w:tplc="8140081C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076448"/>
    <w:multiLevelType w:val="hybridMultilevel"/>
    <w:tmpl w:val="F2BE1E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41F4BD0"/>
    <w:multiLevelType w:val="hybridMultilevel"/>
    <w:tmpl w:val="520C15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54A16D6"/>
    <w:multiLevelType w:val="hybridMultilevel"/>
    <w:tmpl w:val="A2A6300A"/>
    <w:lvl w:ilvl="0" w:tplc="08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4">
    <w:nsid w:val="6A1F7188"/>
    <w:multiLevelType w:val="hybridMultilevel"/>
    <w:tmpl w:val="0AC0B4D6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45DEF"/>
    <w:multiLevelType w:val="hybridMultilevel"/>
    <w:tmpl w:val="CF404860"/>
    <w:lvl w:ilvl="0" w:tplc="3A5643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6490F"/>
    <w:multiLevelType w:val="hybridMultilevel"/>
    <w:tmpl w:val="6B42545A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5464"/>
    <w:multiLevelType w:val="hybridMultilevel"/>
    <w:tmpl w:val="8A5EB036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23A6A87"/>
    <w:multiLevelType w:val="hybridMultilevel"/>
    <w:tmpl w:val="FD148C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B665766"/>
    <w:multiLevelType w:val="hybridMultilevel"/>
    <w:tmpl w:val="DF10ED9C"/>
    <w:lvl w:ilvl="0" w:tplc="46324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B4866"/>
    <w:multiLevelType w:val="hybridMultilevel"/>
    <w:tmpl w:val="5CB622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0"/>
  </w:num>
  <w:num w:numId="5">
    <w:abstractNumId w:val="18"/>
  </w:num>
  <w:num w:numId="6">
    <w:abstractNumId w:val="25"/>
  </w:num>
  <w:num w:numId="7">
    <w:abstractNumId w:val="15"/>
  </w:num>
  <w:num w:numId="8">
    <w:abstractNumId w:val="10"/>
  </w:num>
  <w:num w:numId="9">
    <w:abstractNumId w:val="1"/>
  </w:num>
  <w:num w:numId="10">
    <w:abstractNumId w:val="8"/>
  </w:num>
  <w:num w:numId="11">
    <w:abstractNumId w:val="22"/>
  </w:num>
  <w:num w:numId="12">
    <w:abstractNumId w:val="19"/>
  </w:num>
  <w:num w:numId="13">
    <w:abstractNumId w:val="24"/>
  </w:num>
  <w:num w:numId="14">
    <w:abstractNumId w:val="29"/>
  </w:num>
  <w:num w:numId="15">
    <w:abstractNumId w:val="17"/>
  </w:num>
  <w:num w:numId="16">
    <w:abstractNumId w:val="28"/>
  </w:num>
  <w:num w:numId="17">
    <w:abstractNumId w:val="26"/>
  </w:num>
  <w:num w:numId="18">
    <w:abstractNumId w:val="14"/>
  </w:num>
  <w:num w:numId="19">
    <w:abstractNumId w:val="21"/>
  </w:num>
  <w:num w:numId="20">
    <w:abstractNumId w:val="30"/>
  </w:num>
  <w:num w:numId="21">
    <w:abstractNumId w:val="4"/>
  </w:num>
  <w:num w:numId="22">
    <w:abstractNumId w:val="9"/>
  </w:num>
  <w:num w:numId="23">
    <w:abstractNumId w:val="13"/>
  </w:num>
  <w:num w:numId="24">
    <w:abstractNumId w:val="5"/>
  </w:num>
  <w:num w:numId="25">
    <w:abstractNumId w:val="23"/>
  </w:num>
  <w:num w:numId="26">
    <w:abstractNumId w:val="12"/>
  </w:num>
  <w:num w:numId="27">
    <w:abstractNumId w:val="27"/>
  </w:num>
  <w:num w:numId="28">
    <w:abstractNumId w:val="2"/>
  </w:num>
  <w:num w:numId="29">
    <w:abstractNumId w:val="11"/>
  </w:num>
  <w:num w:numId="30">
    <w:abstractNumId w:val="16"/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D"/>
    <w:rsid w:val="000030A0"/>
    <w:rsid w:val="00005681"/>
    <w:rsid w:val="00006806"/>
    <w:rsid w:val="00010E78"/>
    <w:rsid w:val="000116FF"/>
    <w:rsid w:val="000150BE"/>
    <w:rsid w:val="000209F8"/>
    <w:rsid w:val="000226F8"/>
    <w:rsid w:val="00022CD2"/>
    <w:rsid w:val="0003315D"/>
    <w:rsid w:val="00035147"/>
    <w:rsid w:val="000359CD"/>
    <w:rsid w:val="00035A9B"/>
    <w:rsid w:val="00035D3E"/>
    <w:rsid w:val="000372FD"/>
    <w:rsid w:val="00037810"/>
    <w:rsid w:val="00041978"/>
    <w:rsid w:val="00044EED"/>
    <w:rsid w:val="000512FC"/>
    <w:rsid w:val="00061638"/>
    <w:rsid w:val="000656DC"/>
    <w:rsid w:val="000667D3"/>
    <w:rsid w:val="0007119E"/>
    <w:rsid w:val="000800A8"/>
    <w:rsid w:val="000824E5"/>
    <w:rsid w:val="00083C8A"/>
    <w:rsid w:val="00083E8E"/>
    <w:rsid w:val="00094258"/>
    <w:rsid w:val="000943BA"/>
    <w:rsid w:val="00097027"/>
    <w:rsid w:val="000A1F5E"/>
    <w:rsid w:val="000A2EF0"/>
    <w:rsid w:val="000A470B"/>
    <w:rsid w:val="000A59AB"/>
    <w:rsid w:val="000A6EFA"/>
    <w:rsid w:val="000B2944"/>
    <w:rsid w:val="000C3F41"/>
    <w:rsid w:val="000C3F42"/>
    <w:rsid w:val="000C5C80"/>
    <w:rsid w:val="000C5DA1"/>
    <w:rsid w:val="000C61B2"/>
    <w:rsid w:val="000C7E80"/>
    <w:rsid w:val="000E3982"/>
    <w:rsid w:val="000E3AD2"/>
    <w:rsid w:val="000E4872"/>
    <w:rsid w:val="000E6533"/>
    <w:rsid w:val="000F1F36"/>
    <w:rsid w:val="000F409C"/>
    <w:rsid w:val="000F4153"/>
    <w:rsid w:val="000F72BC"/>
    <w:rsid w:val="0010086E"/>
    <w:rsid w:val="00103614"/>
    <w:rsid w:val="00105B32"/>
    <w:rsid w:val="00106D28"/>
    <w:rsid w:val="001135F8"/>
    <w:rsid w:val="00114E27"/>
    <w:rsid w:val="00116A1A"/>
    <w:rsid w:val="00117CE9"/>
    <w:rsid w:val="00120434"/>
    <w:rsid w:val="00123CDC"/>
    <w:rsid w:val="00130E30"/>
    <w:rsid w:val="001312CC"/>
    <w:rsid w:val="0013217E"/>
    <w:rsid w:val="001332FB"/>
    <w:rsid w:val="00133C57"/>
    <w:rsid w:val="0013589B"/>
    <w:rsid w:val="0014743B"/>
    <w:rsid w:val="001511AA"/>
    <w:rsid w:val="001552B1"/>
    <w:rsid w:val="001552CD"/>
    <w:rsid w:val="00155B6E"/>
    <w:rsid w:val="00160A94"/>
    <w:rsid w:val="00161381"/>
    <w:rsid w:val="001662D8"/>
    <w:rsid w:val="00172CC0"/>
    <w:rsid w:val="0018188C"/>
    <w:rsid w:val="00182BE8"/>
    <w:rsid w:val="0018663D"/>
    <w:rsid w:val="001918F7"/>
    <w:rsid w:val="001955EA"/>
    <w:rsid w:val="001A0D94"/>
    <w:rsid w:val="001A38FB"/>
    <w:rsid w:val="001A59EF"/>
    <w:rsid w:val="001A7428"/>
    <w:rsid w:val="001B71A6"/>
    <w:rsid w:val="001C12BA"/>
    <w:rsid w:val="001C14DE"/>
    <w:rsid w:val="001C2C32"/>
    <w:rsid w:val="001C5873"/>
    <w:rsid w:val="001D1A03"/>
    <w:rsid w:val="001D1CE1"/>
    <w:rsid w:val="001D52EF"/>
    <w:rsid w:val="001D7CD8"/>
    <w:rsid w:val="001E7A5E"/>
    <w:rsid w:val="001F236C"/>
    <w:rsid w:val="001F3FA7"/>
    <w:rsid w:val="00200CC5"/>
    <w:rsid w:val="00204166"/>
    <w:rsid w:val="002059C1"/>
    <w:rsid w:val="002067B3"/>
    <w:rsid w:val="00210798"/>
    <w:rsid w:val="00211DE3"/>
    <w:rsid w:val="00212B06"/>
    <w:rsid w:val="002168D6"/>
    <w:rsid w:val="00217B95"/>
    <w:rsid w:val="00222D83"/>
    <w:rsid w:val="00225BFE"/>
    <w:rsid w:val="00227C81"/>
    <w:rsid w:val="00240250"/>
    <w:rsid w:val="00240A01"/>
    <w:rsid w:val="002461BE"/>
    <w:rsid w:val="00253880"/>
    <w:rsid w:val="00260B0E"/>
    <w:rsid w:val="00263649"/>
    <w:rsid w:val="00265840"/>
    <w:rsid w:val="0026668B"/>
    <w:rsid w:val="002730E7"/>
    <w:rsid w:val="00274856"/>
    <w:rsid w:val="00283734"/>
    <w:rsid w:val="002853B4"/>
    <w:rsid w:val="0028751D"/>
    <w:rsid w:val="002913F5"/>
    <w:rsid w:val="00292826"/>
    <w:rsid w:val="00293CF3"/>
    <w:rsid w:val="00294C46"/>
    <w:rsid w:val="002A465B"/>
    <w:rsid w:val="002B1B9E"/>
    <w:rsid w:val="002B3272"/>
    <w:rsid w:val="002B3F3D"/>
    <w:rsid w:val="002B79FC"/>
    <w:rsid w:val="002C35AB"/>
    <w:rsid w:val="002D0CDF"/>
    <w:rsid w:val="002D3856"/>
    <w:rsid w:val="002E2A7E"/>
    <w:rsid w:val="002E7245"/>
    <w:rsid w:val="002E7B2E"/>
    <w:rsid w:val="002F058F"/>
    <w:rsid w:val="002F1875"/>
    <w:rsid w:val="002F40E8"/>
    <w:rsid w:val="002F7B75"/>
    <w:rsid w:val="003072AE"/>
    <w:rsid w:val="00315362"/>
    <w:rsid w:val="0032749E"/>
    <w:rsid w:val="00330299"/>
    <w:rsid w:val="00330BE7"/>
    <w:rsid w:val="00332507"/>
    <w:rsid w:val="003325B6"/>
    <w:rsid w:val="0033385A"/>
    <w:rsid w:val="0033503E"/>
    <w:rsid w:val="00335660"/>
    <w:rsid w:val="003473B2"/>
    <w:rsid w:val="00347697"/>
    <w:rsid w:val="00350047"/>
    <w:rsid w:val="0035020F"/>
    <w:rsid w:val="0035126E"/>
    <w:rsid w:val="0035451F"/>
    <w:rsid w:val="00354C82"/>
    <w:rsid w:val="00356672"/>
    <w:rsid w:val="00357136"/>
    <w:rsid w:val="00362BDE"/>
    <w:rsid w:val="00372049"/>
    <w:rsid w:val="003725E4"/>
    <w:rsid w:val="0037288A"/>
    <w:rsid w:val="003741D2"/>
    <w:rsid w:val="00377013"/>
    <w:rsid w:val="00384F1A"/>
    <w:rsid w:val="00387A11"/>
    <w:rsid w:val="0039582D"/>
    <w:rsid w:val="003A197C"/>
    <w:rsid w:val="003B022E"/>
    <w:rsid w:val="003B077C"/>
    <w:rsid w:val="003B7B73"/>
    <w:rsid w:val="003C5909"/>
    <w:rsid w:val="003C712C"/>
    <w:rsid w:val="003D6B03"/>
    <w:rsid w:val="003D700B"/>
    <w:rsid w:val="003E1847"/>
    <w:rsid w:val="003E28CA"/>
    <w:rsid w:val="003E6245"/>
    <w:rsid w:val="003F462C"/>
    <w:rsid w:val="00401946"/>
    <w:rsid w:val="00402EA9"/>
    <w:rsid w:val="004036A7"/>
    <w:rsid w:val="00411114"/>
    <w:rsid w:val="00413E26"/>
    <w:rsid w:val="00416F5F"/>
    <w:rsid w:val="00417135"/>
    <w:rsid w:val="004258ED"/>
    <w:rsid w:val="004331BA"/>
    <w:rsid w:val="004346DB"/>
    <w:rsid w:val="00435C74"/>
    <w:rsid w:val="00444E8B"/>
    <w:rsid w:val="00445174"/>
    <w:rsid w:val="004463C3"/>
    <w:rsid w:val="00447196"/>
    <w:rsid w:val="004504AB"/>
    <w:rsid w:val="0045464F"/>
    <w:rsid w:val="00454796"/>
    <w:rsid w:val="004563C8"/>
    <w:rsid w:val="0045677C"/>
    <w:rsid w:val="00463DCF"/>
    <w:rsid w:val="00463E24"/>
    <w:rsid w:val="004651DF"/>
    <w:rsid w:val="00472F74"/>
    <w:rsid w:val="004735DB"/>
    <w:rsid w:val="0047431D"/>
    <w:rsid w:val="00474485"/>
    <w:rsid w:val="00474C82"/>
    <w:rsid w:val="00475F85"/>
    <w:rsid w:val="004828D3"/>
    <w:rsid w:val="00486412"/>
    <w:rsid w:val="00491160"/>
    <w:rsid w:val="0049146A"/>
    <w:rsid w:val="004935F2"/>
    <w:rsid w:val="00493B65"/>
    <w:rsid w:val="004A2250"/>
    <w:rsid w:val="004A2A9F"/>
    <w:rsid w:val="004A3F68"/>
    <w:rsid w:val="004A494A"/>
    <w:rsid w:val="004A5381"/>
    <w:rsid w:val="004A700B"/>
    <w:rsid w:val="004B0400"/>
    <w:rsid w:val="004B19A9"/>
    <w:rsid w:val="004B2094"/>
    <w:rsid w:val="004B2C60"/>
    <w:rsid w:val="004B3D5E"/>
    <w:rsid w:val="004B63C5"/>
    <w:rsid w:val="004B77FC"/>
    <w:rsid w:val="004C0542"/>
    <w:rsid w:val="004C0C0E"/>
    <w:rsid w:val="004C43DE"/>
    <w:rsid w:val="004D034A"/>
    <w:rsid w:val="004D33D0"/>
    <w:rsid w:val="004D4BC9"/>
    <w:rsid w:val="004D67CD"/>
    <w:rsid w:val="004E0B74"/>
    <w:rsid w:val="004F74DE"/>
    <w:rsid w:val="004F7B45"/>
    <w:rsid w:val="005044C6"/>
    <w:rsid w:val="005064F0"/>
    <w:rsid w:val="005101F7"/>
    <w:rsid w:val="00514497"/>
    <w:rsid w:val="00516A5C"/>
    <w:rsid w:val="00520C82"/>
    <w:rsid w:val="00521DC4"/>
    <w:rsid w:val="00523C31"/>
    <w:rsid w:val="005266AA"/>
    <w:rsid w:val="00526E3B"/>
    <w:rsid w:val="00527607"/>
    <w:rsid w:val="00530F4A"/>
    <w:rsid w:val="005313BC"/>
    <w:rsid w:val="00531F1E"/>
    <w:rsid w:val="005323C6"/>
    <w:rsid w:val="0053306E"/>
    <w:rsid w:val="00533969"/>
    <w:rsid w:val="00533B94"/>
    <w:rsid w:val="00533FD2"/>
    <w:rsid w:val="00536C64"/>
    <w:rsid w:val="00541DC1"/>
    <w:rsid w:val="005506D6"/>
    <w:rsid w:val="00550A70"/>
    <w:rsid w:val="005510D8"/>
    <w:rsid w:val="00551191"/>
    <w:rsid w:val="00554844"/>
    <w:rsid w:val="005578C1"/>
    <w:rsid w:val="0056210B"/>
    <w:rsid w:val="0056251F"/>
    <w:rsid w:val="005630E7"/>
    <w:rsid w:val="005669C0"/>
    <w:rsid w:val="00567018"/>
    <w:rsid w:val="00570D05"/>
    <w:rsid w:val="00583B45"/>
    <w:rsid w:val="005905C2"/>
    <w:rsid w:val="005917AE"/>
    <w:rsid w:val="005925B6"/>
    <w:rsid w:val="005976C4"/>
    <w:rsid w:val="005A17F5"/>
    <w:rsid w:val="005A38B3"/>
    <w:rsid w:val="005A5B9F"/>
    <w:rsid w:val="005A664C"/>
    <w:rsid w:val="005B0232"/>
    <w:rsid w:val="005B1F5F"/>
    <w:rsid w:val="005B2AF6"/>
    <w:rsid w:val="005B360C"/>
    <w:rsid w:val="005B6F0C"/>
    <w:rsid w:val="005C4131"/>
    <w:rsid w:val="005D33C2"/>
    <w:rsid w:val="005D3F27"/>
    <w:rsid w:val="005D44A4"/>
    <w:rsid w:val="005D4C4D"/>
    <w:rsid w:val="005D546F"/>
    <w:rsid w:val="005D6148"/>
    <w:rsid w:val="005D6C51"/>
    <w:rsid w:val="005D6DCA"/>
    <w:rsid w:val="005E0A67"/>
    <w:rsid w:val="005E0B00"/>
    <w:rsid w:val="005E7711"/>
    <w:rsid w:val="005F14EF"/>
    <w:rsid w:val="005F174D"/>
    <w:rsid w:val="005F4140"/>
    <w:rsid w:val="005F7D21"/>
    <w:rsid w:val="00600995"/>
    <w:rsid w:val="00601057"/>
    <w:rsid w:val="00603981"/>
    <w:rsid w:val="00603E8E"/>
    <w:rsid w:val="00607866"/>
    <w:rsid w:val="0061340A"/>
    <w:rsid w:val="00613D43"/>
    <w:rsid w:val="006173D8"/>
    <w:rsid w:val="00621B9B"/>
    <w:rsid w:val="006251C1"/>
    <w:rsid w:val="0063166B"/>
    <w:rsid w:val="00635911"/>
    <w:rsid w:val="0065305B"/>
    <w:rsid w:val="00654A79"/>
    <w:rsid w:val="00656E91"/>
    <w:rsid w:val="00662A0F"/>
    <w:rsid w:val="00670340"/>
    <w:rsid w:val="00675C69"/>
    <w:rsid w:val="00676008"/>
    <w:rsid w:val="00677B45"/>
    <w:rsid w:val="00682D25"/>
    <w:rsid w:val="0068485E"/>
    <w:rsid w:val="00687F6F"/>
    <w:rsid w:val="0069059C"/>
    <w:rsid w:val="00691981"/>
    <w:rsid w:val="0069250F"/>
    <w:rsid w:val="00692CAE"/>
    <w:rsid w:val="00693ED6"/>
    <w:rsid w:val="00697879"/>
    <w:rsid w:val="006A5B5A"/>
    <w:rsid w:val="006A651A"/>
    <w:rsid w:val="006B2096"/>
    <w:rsid w:val="006C24A9"/>
    <w:rsid w:val="006C7363"/>
    <w:rsid w:val="006D20BA"/>
    <w:rsid w:val="006D645E"/>
    <w:rsid w:val="006D7D0D"/>
    <w:rsid w:val="006E1B35"/>
    <w:rsid w:val="006E1B5A"/>
    <w:rsid w:val="006E1BC3"/>
    <w:rsid w:val="006E36F3"/>
    <w:rsid w:val="006E3831"/>
    <w:rsid w:val="006E44BB"/>
    <w:rsid w:val="006E67C4"/>
    <w:rsid w:val="006F3808"/>
    <w:rsid w:val="006F4BA2"/>
    <w:rsid w:val="006F5910"/>
    <w:rsid w:val="00701296"/>
    <w:rsid w:val="00701D7D"/>
    <w:rsid w:val="00704730"/>
    <w:rsid w:val="007053CF"/>
    <w:rsid w:val="00706224"/>
    <w:rsid w:val="007070D0"/>
    <w:rsid w:val="00710466"/>
    <w:rsid w:val="00710A17"/>
    <w:rsid w:val="007137F7"/>
    <w:rsid w:val="00714894"/>
    <w:rsid w:val="007154CE"/>
    <w:rsid w:val="0072307E"/>
    <w:rsid w:val="0072591D"/>
    <w:rsid w:val="00727179"/>
    <w:rsid w:val="00727ED1"/>
    <w:rsid w:val="00740F03"/>
    <w:rsid w:val="00741810"/>
    <w:rsid w:val="00741EFA"/>
    <w:rsid w:val="007427D4"/>
    <w:rsid w:val="00752C6B"/>
    <w:rsid w:val="00760922"/>
    <w:rsid w:val="00764079"/>
    <w:rsid w:val="00766998"/>
    <w:rsid w:val="0077104B"/>
    <w:rsid w:val="00771F55"/>
    <w:rsid w:val="00773961"/>
    <w:rsid w:val="0077440D"/>
    <w:rsid w:val="00774644"/>
    <w:rsid w:val="00775A30"/>
    <w:rsid w:val="00777F68"/>
    <w:rsid w:val="00777FC6"/>
    <w:rsid w:val="0078409C"/>
    <w:rsid w:val="007A68B2"/>
    <w:rsid w:val="007B314C"/>
    <w:rsid w:val="007C1DC6"/>
    <w:rsid w:val="007C6046"/>
    <w:rsid w:val="007C63CC"/>
    <w:rsid w:val="007D13DA"/>
    <w:rsid w:val="007D331D"/>
    <w:rsid w:val="007E1B08"/>
    <w:rsid w:val="007E4211"/>
    <w:rsid w:val="007E61CA"/>
    <w:rsid w:val="007F1631"/>
    <w:rsid w:val="007F3944"/>
    <w:rsid w:val="007F5272"/>
    <w:rsid w:val="007F5BF2"/>
    <w:rsid w:val="007F6E5E"/>
    <w:rsid w:val="007F76F2"/>
    <w:rsid w:val="0080618D"/>
    <w:rsid w:val="00811D8A"/>
    <w:rsid w:val="00814BB4"/>
    <w:rsid w:val="00815488"/>
    <w:rsid w:val="00815E85"/>
    <w:rsid w:val="00821EB6"/>
    <w:rsid w:val="0082449A"/>
    <w:rsid w:val="00824A81"/>
    <w:rsid w:val="008306D4"/>
    <w:rsid w:val="008346CA"/>
    <w:rsid w:val="00834BCC"/>
    <w:rsid w:val="0083795F"/>
    <w:rsid w:val="008455D5"/>
    <w:rsid w:val="008468E4"/>
    <w:rsid w:val="00846DC5"/>
    <w:rsid w:val="00851BB4"/>
    <w:rsid w:val="0085475D"/>
    <w:rsid w:val="00855B96"/>
    <w:rsid w:val="00871681"/>
    <w:rsid w:val="0087523F"/>
    <w:rsid w:val="00877A3D"/>
    <w:rsid w:val="00885D91"/>
    <w:rsid w:val="008919F7"/>
    <w:rsid w:val="00891DC1"/>
    <w:rsid w:val="00895AE4"/>
    <w:rsid w:val="00896ADF"/>
    <w:rsid w:val="008A4353"/>
    <w:rsid w:val="008A7BD9"/>
    <w:rsid w:val="008B286F"/>
    <w:rsid w:val="008C1A0F"/>
    <w:rsid w:val="008C1BB8"/>
    <w:rsid w:val="008C526A"/>
    <w:rsid w:val="008C5C1C"/>
    <w:rsid w:val="008D3203"/>
    <w:rsid w:val="008E001F"/>
    <w:rsid w:val="008E09D0"/>
    <w:rsid w:val="008E1145"/>
    <w:rsid w:val="008E285A"/>
    <w:rsid w:val="008E5A73"/>
    <w:rsid w:val="008F289B"/>
    <w:rsid w:val="008F2A4E"/>
    <w:rsid w:val="008F4DA3"/>
    <w:rsid w:val="008F67EF"/>
    <w:rsid w:val="008F7B19"/>
    <w:rsid w:val="00900C7F"/>
    <w:rsid w:val="00903458"/>
    <w:rsid w:val="00903C3C"/>
    <w:rsid w:val="0090420B"/>
    <w:rsid w:val="009051BE"/>
    <w:rsid w:val="00910CFB"/>
    <w:rsid w:val="0091176F"/>
    <w:rsid w:val="00912361"/>
    <w:rsid w:val="009142E5"/>
    <w:rsid w:val="00915EC3"/>
    <w:rsid w:val="009176DB"/>
    <w:rsid w:val="00922818"/>
    <w:rsid w:val="00922EBF"/>
    <w:rsid w:val="00926E63"/>
    <w:rsid w:val="009277C6"/>
    <w:rsid w:val="00933738"/>
    <w:rsid w:val="00934EA9"/>
    <w:rsid w:val="00935203"/>
    <w:rsid w:val="00941E4F"/>
    <w:rsid w:val="00945E7B"/>
    <w:rsid w:val="0094681D"/>
    <w:rsid w:val="0094682F"/>
    <w:rsid w:val="0094727E"/>
    <w:rsid w:val="009473F5"/>
    <w:rsid w:val="009538B4"/>
    <w:rsid w:val="0096047C"/>
    <w:rsid w:val="009620A8"/>
    <w:rsid w:val="0096633B"/>
    <w:rsid w:val="00966BBE"/>
    <w:rsid w:val="0096749E"/>
    <w:rsid w:val="00971E0D"/>
    <w:rsid w:val="009723ED"/>
    <w:rsid w:val="00972FEF"/>
    <w:rsid w:val="00975552"/>
    <w:rsid w:val="00976E30"/>
    <w:rsid w:val="0098273F"/>
    <w:rsid w:val="00986C1F"/>
    <w:rsid w:val="009878B0"/>
    <w:rsid w:val="00993A4E"/>
    <w:rsid w:val="00995E4A"/>
    <w:rsid w:val="009A2E92"/>
    <w:rsid w:val="009B17D6"/>
    <w:rsid w:val="009B2610"/>
    <w:rsid w:val="009B2ED0"/>
    <w:rsid w:val="009B3D3E"/>
    <w:rsid w:val="009B5A72"/>
    <w:rsid w:val="009C004C"/>
    <w:rsid w:val="009C4401"/>
    <w:rsid w:val="009D3912"/>
    <w:rsid w:val="009D3FFE"/>
    <w:rsid w:val="009D6722"/>
    <w:rsid w:val="009D7937"/>
    <w:rsid w:val="009E0A5A"/>
    <w:rsid w:val="009E34F6"/>
    <w:rsid w:val="009E6D5E"/>
    <w:rsid w:val="009F6875"/>
    <w:rsid w:val="009F6D40"/>
    <w:rsid w:val="00A01542"/>
    <w:rsid w:val="00A01D6B"/>
    <w:rsid w:val="00A04E24"/>
    <w:rsid w:val="00A06DE4"/>
    <w:rsid w:val="00A10B89"/>
    <w:rsid w:val="00A20074"/>
    <w:rsid w:val="00A21178"/>
    <w:rsid w:val="00A24256"/>
    <w:rsid w:val="00A27069"/>
    <w:rsid w:val="00A32774"/>
    <w:rsid w:val="00A32A7B"/>
    <w:rsid w:val="00A3538B"/>
    <w:rsid w:val="00A36D0D"/>
    <w:rsid w:val="00A4088F"/>
    <w:rsid w:val="00A40943"/>
    <w:rsid w:val="00A4396F"/>
    <w:rsid w:val="00A45D10"/>
    <w:rsid w:val="00A47CCA"/>
    <w:rsid w:val="00A50E23"/>
    <w:rsid w:val="00A51044"/>
    <w:rsid w:val="00A566D4"/>
    <w:rsid w:val="00A60507"/>
    <w:rsid w:val="00A65250"/>
    <w:rsid w:val="00A7570E"/>
    <w:rsid w:val="00A75747"/>
    <w:rsid w:val="00A765CE"/>
    <w:rsid w:val="00A77C53"/>
    <w:rsid w:val="00A80CBD"/>
    <w:rsid w:val="00A8286B"/>
    <w:rsid w:val="00A840F5"/>
    <w:rsid w:val="00A905DF"/>
    <w:rsid w:val="00A91CBA"/>
    <w:rsid w:val="00A97EDB"/>
    <w:rsid w:val="00AA082E"/>
    <w:rsid w:val="00AA5C80"/>
    <w:rsid w:val="00AA601A"/>
    <w:rsid w:val="00AA7C75"/>
    <w:rsid w:val="00AB1A3D"/>
    <w:rsid w:val="00AB1B1F"/>
    <w:rsid w:val="00AC4B4B"/>
    <w:rsid w:val="00AC5820"/>
    <w:rsid w:val="00AC616F"/>
    <w:rsid w:val="00AC6D86"/>
    <w:rsid w:val="00AD08CE"/>
    <w:rsid w:val="00AD0F68"/>
    <w:rsid w:val="00AD3823"/>
    <w:rsid w:val="00AD6B0C"/>
    <w:rsid w:val="00AE0538"/>
    <w:rsid w:val="00AE08A9"/>
    <w:rsid w:val="00AE12E9"/>
    <w:rsid w:val="00AF08EC"/>
    <w:rsid w:val="00AF5A15"/>
    <w:rsid w:val="00AF7455"/>
    <w:rsid w:val="00AF79B7"/>
    <w:rsid w:val="00B05FE6"/>
    <w:rsid w:val="00B10289"/>
    <w:rsid w:val="00B10A93"/>
    <w:rsid w:val="00B10F8A"/>
    <w:rsid w:val="00B11021"/>
    <w:rsid w:val="00B1424E"/>
    <w:rsid w:val="00B17A5F"/>
    <w:rsid w:val="00B227BD"/>
    <w:rsid w:val="00B23FD9"/>
    <w:rsid w:val="00B35F74"/>
    <w:rsid w:val="00B4694E"/>
    <w:rsid w:val="00B4776F"/>
    <w:rsid w:val="00B50F81"/>
    <w:rsid w:val="00B5477F"/>
    <w:rsid w:val="00B5509D"/>
    <w:rsid w:val="00B60D6F"/>
    <w:rsid w:val="00B647CA"/>
    <w:rsid w:val="00B64C35"/>
    <w:rsid w:val="00B72E67"/>
    <w:rsid w:val="00B72FD0"/>
    <w:rsid w:val="00B73F00"/>
    <w:rsid w:val="00B7705C"/>
    <w:rsid w:val="00B80F0F"/>
    <w:rsid w:val="00B822CF"/>
    <w:rsid w:val="00B84406"/>
    <w:rsid w:val="00B8588B"/>
    <w:rsid w:val="00B86D66"/>
    <w:rsid w:val="00B876E7"/>
    <w:rsid w:val="00B92D4E"/>
    <w:rsid w:val="00B93406"/>
    <w:rsid w:val="00B949C8"/>
    <w:rsid w:val="00B94A04"/>
    <w:rsid w:val="00BA0E6F"/>
    <w:rsid w:val="00BA1074"/>
    <w:rsid w:val="00BA2E9D"/>
    <w:rsid w:val="00BA385D"/>
    <w:rsid w:val="00BA565A"/>
    <w:rsid w:val="00BB69D8"/>
    <w:rsid w:val="00BB77BA"/>
    <w:rsid w:val="00BC3C81"/>
    <w:rsid w:val="00BC5060"/>
    <w:rsid w:val="00BC75F6"/>
    <w:rsid w:val="00BD2CF5"/>
    <w:rsid w:val="00BD2F94"/>
    <w:rsid w:val="00BD3B30"/>
    <w:rsid w:val="00BD4A81"/>
    <w:rsid w:val="00BD7D8B"/>
    <w:rsid w:val="00BE03C0"/>
    <w:rsid w:val="00BE0411"/>
    <w:rsid w:val="00BE052E"/>
    <w:rsid w:val="00BE6C6D"/>
    <w:rsid w:val="00BF0264"/>
    <w:rsid w:val="00BF2C68"/>
    <w:rsid w:val="00BF345E"/>
    <w:rsid w:val="00BF5570"/>
    <w:rsid w:val="00C0207D"/>
    <w:rsid w:val="00C04168"/>
    <w:rsid w:val="00C042C7"/>
    <w:rsid w:val="00C045D2"/>
    <w:rsid w:val="00C05488"/>
    <w:rsid w:val="00C05AEE"/>
    <w:rsid w:val="00C10CA3"/>
    <w:rsid w:val="00C1367B"/>
    <w:rsid w:val="00C13FA7"/>
    <w:rsid w:val="00C170ED"/>
    <w:rsid w:val="00C21B6C"/>
    <w:rsid w:val="00C26D2B"/>
    <w:rsid w:val="00C311F3"/>
    <w:rsid w:val="00C3282B"/>
    <w:rsid w:val="00C33662"/>
    <w:rsid w:val="00C37BCB"/>
    <w:rsid w:val="00C40145"/>
    <w:rsid w:val="00C40556"/>
    <w:rsid w:val="00C44636"/>
    <w:rsid w:val="00C52909"/>
    <w:rsid w:val="00C5428A"/>
    <w:rsid w:val="00C56C4C"/>
    <w:rsid w:val="00C612D6"/>
    <w:rsid w:val="00C612F5"/>
    <w:rsid w:val="00C618BF"/>
    <w:rsid w:val="00C64350"/>
    <w:rsid w:val="00C67319"/>
    <w:rsid w:val="00C709B4"/>
    <w:rsid w:val="00C73655"/>
    <w:rsid w:val="00C74E1F"/>
    <w:rsid w:val="00C75D40"/>
    <w:rsid w:val="00C769C9"/>
    <w:rsid w:val="00C8067E"/>
    <w:rsid w:val="00C8229E"/>
    <w:rsid w:val="00C83A76"/>
    <w:rsid w:val="00C83DA1"/>
    <w:rsid w:val="00C93F91"/>
    <w:rsid w:val="00C94258"/>
    <w:rsid w:val="00C9523E"/>
    <w:rsid w:val="00C95B34"/>
    <w:rsid w:val="00C95F06"/>
    <w:rsid w:val="00CA1732"/>
    <w:rsid w:val="00CA2DFA"/>
    <w:rsid w:val="00CA7E5E"/>
    <w:rsid w:val="00CB09C1"/>
    <w:rsid w:val="00CB0A60"/>
    <w:rsid w:val="00CB1DA6"/>
    <w:rsid w:val="00CB5086"/>
    <w:rsid w:val="00CB6B73"/>
    <w:rsid w:val="00CC1BAC"/>
    <w:rsid w:val="00CC2F8A"/>
    <w:rsid w:val="00CC37F9"/>
    <w:rsid w:val="00CC3908"/>
    <w:rsid w:val="00CC5782"/>
    <w:rsid w:val="00CD0532"/>
    <w:rsid w:val="00CD3C50"/>
    <w:rsid w:val="00CD4C5D"/>
    <w:rsid w:val="00CD51DA"/>
    <w:rsid w:val="00CE3DFC"/>
    <w:rsid w:val="00CE493A"/>
    <w:rsid w:val="00CE5596"/>
    <w:rsid w:val="00CF6B23"/>
    <w:rsid w:val="00CF6FA6"/>
    <w:rsid w:val="00D07007"/>
    <w:rsid w:val="00D1078F"/>
    <w:rsid w:val="00D30906"/>
    <w:rsid w:val="00D3115F"/>
    <w:rsid w:val="00D324EB"/>
    <w:rsid w:val="00D327A9"/>
    <w:rsid w:val="00D3500F"/>
    <w:rsid w:val="00D407AF"/>
    <w:rsid w:val="00D44004"/>
    <w:rsid w:val="00D46E89"/>
    <w:rsid w:val="00D5019E"/>
    <w:rsid w:val="00D52515"/>
    <w:rsid w:val="00D52D74"/>
    <w:rsid w:val="00D54FA9"/>
    <w:rsid w:val="00D555A4"/>
    <w:rsid w:val="00D55B7F"/>
    <w:rsid w:val="00D60224"/>
    <w:rsid w:val="00D73706"/>
    <w:rsid w:val="00D74C9D"/>
    <w:rsid w:val="00D75E4E"/>
    <w:rsid w:val="00D90D6C"/>
    <w:rsid w:val="00DA0D01"/>
    <w:rsid w:val="00DA2561"/>
    <w:rsid w:val="00DA67C6"/>
    <w:rsid w:val="00DA7454"/>
    <w:rsid w:val="00DB3198"/>
    <w:rsid w:val="00DB6773"/>
    <w:rsid w:val="00DC4CD4"/>
    <w:rsid w:val="00DC7F06"/>
    <w:rsid w:val="00DD2A1D"/>
    <w:rsid w:val="00DD64C0"/>
    <w:rsid w:val="00DD7187"/>
    <w:rsid w:val="00DE11B2"/>
    <w:rsid w:val="00DE45FB"/>
    <w:rsid w:val="00DE5CF6"/>
    <w:rsid w:val="00DE6018"/>
    <w:rsid w:val="00DF0561"/>
    <w:rsid w:val="00DF0BD7"/>
    <w:rsid w:val="00DF2670"/>
    <w:rsid w:val="00DF72E5"/>
    <w:rsid w:val="00DF735B"/>
    <w:rsid w:val="00E03E41"/>
    <w:rsid w:val="00E04FE9"/>
    <w:rsid w:val="00E14CF2"/>
    <w:rsid w:val="00E21168"/>
    <w:rsid w:val="00E21EE8"/>
    <w:rsid w:val="00E23A99"/>
    <w:rsid w:val="00E26FB2"/>
    <w:rsid w:val="00E273E7"/>
    <w:rsid w:val="00E30012"/>
    <w:rsid w:val="00E30D73"/>
    <w:rsid w:val="00E32A3E"/>
    <w:rsid w:val="00E34CB9"/>
    <w:rsid w:val="00E355D8"/>
    <w:rsid w:val="00E36648"/>
    <w:rsid w:val="00E3691F"/>
    <w:rsid w:val="00E406B1"/>
    <w:rsid w:val="00E44776"/>
    <w:rsid w:val="00E44D19"/>
    <w:rsid w:val="00E519E0"/>
    <w:rsid w:val="00E542C4"/>
    <w:rsid w:val="00E60CE2"/>
    <w:rsid w:val="00E60EA3"/>
    <w:rsid w:val="00E61305"/>
    <w:rsid w:val="00E620C7"/>
    <w:rsid w:val="00E6586A"/>
    <w:rsid w:val="00E721E2"/>
    <w:rsid w:val="00E73998"/>
    <w:rsid w:val="00E863EB"/>
    <w:rsid w:val="00E9419C"/>
    <w:rsid w:val="00E9623A"/>
    <w:rsid w:val="00EA0274"/>
    <w:rsid w:val="00EA0E2B"/>
    <w:rsid w:val="00EA0EF8"/>
    <w:rsid w:val="00EA4D64"/>
    <w:rsid w:val="00EA62A2"/>
    <w:rsid w:val="00EA6F85"/>
    <w:rsid w:val="00EB300C"/>
    <w:rsid w:val="00EB5CBE"/>
    <w:rsid w:val="00EB5F90"/>
    <w:rsid w:val="00EB7189"/>
    <w:rsid w:val="00EC1C61"/>
    <w:rsid w:val="00EC4BF0"/>
    <w:rsid w:val="00EC4C3C"/>
    <w:rsid w:val="00EC4CED"/>
    <w:rsid w:val="00EC5640"/>
    <w:rsid w:val="00EC68ED"/>
    <w:rsid w:val="00ED0EEB"/>
    <w:rsid w:val="00ED14DF"/>
    <w:rsid w:val="00ED2E19"/>
    <w:rsid w:val="00ED3617"/>
    <w:rsid w:val="00ED3C21"/>
    <w:rsid w:val="00ED50C4"/>
    <w:rsid w:val="00ED6660"/>
    <w:rsid w:val="00ED7D23"/>
    <w:rsid w:val="00EE5600"/>
    <w:rsid w:val="00EE693B"/>
    <w:rsid w:val="00EF0FA5"/>
    <w:rsid w:val="00EF18E8"/>
    <w:rsid w:val="00EF1FDC"/>
    <w:rsid w:val="00EF7125"/>
    <w:rsid w:val="00F001E4"/>
    <w:rsid w:val="00F02608"/>
    <w:rsid w:val="00F05410"/>
    <w:rsid w:val="00F0793A"/>
    <w:rsid w:val="00F125B0"/>
    <w:rsid w:val="00F260C7"/>
    <w:rsid w:val="00F2779C"/>
    <w:rsid w:val="00F27F1A"/>
    <w:rsid w:val="00F3031D"/>
    <w:rsid w:val="00F31074"/>
    <w:rsid w:val="00F41061"/>
    <w:rsid w:val="00F42C47"/>
    <w:rsid w:val="00F54C77"/>
    <w:rsid w:val="00F65931"/>
    <w:rsid w:val="00F65A44"/>
    <w:rsid w:val="00F67BAC"/>
    <w:rsid w:val="00F745A2"/>
    <w:rsid w:val="00F74CCF"/>
    <w:rsid w:val="00F7569D"/>
    <w:rsid w:val="00F75F74"/>
    <w:rsid w:val="00F860AC"/>
    <w:rsid w:val="00F920EE"/>
    <w:rsid w:val="00F932C4"/>
    <w:rsid w:val="00F93E02"/>
    <w:rsid w:val="00FA0170"/>
    <w:rsid w:val="00FA1CB7"/>
    <w:rsid w:val="00FA5461"/>
    <w:rsid w:val="00FA5881"/>
    <w:rsid w:val="00FB17C4"/>
    <w:rsid w:val="00FB20D0"/>
    <w:rsid w:val="00FB743D"/>
    <w:rsid w:val="00FB7C22"/>
    <w:rsid w:val="00FC454E"/>
    <w:rsid w:val="00FC4E1A"/>
    <w:rsid w:val="00FC5E67"/>
    <w:rsid w:val="00FD54EE"/>
    <w:rsid w:val="00FD555E"/>
    <w:rsid w:val="00FE1DBF"/>
    <w:rsid w:val="00FE49DE"/>
    <w:rsid w:val="00FE49E4"/>
    <w:rsid w:val="00FE561E"/>
    <w:rsid w:val="00FF128D"/>
    <w:rsid w:val="00FF187D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60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4C4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B2E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D4C4D"/>
    <w:rPr>
      <w:sz w:val="16"/>
      <w:szCs w:val="16"/>
    </w:rPr>
  </w:style>
  <w:style w:type="paragraph" w:styleId="CommentText">
    <w:name w:val="annotation text"/>
    <w:basedOn w:val="Normal"/>
    <w:semiHidden/>
    <w:rsid w:val="005D4C4D"/>
    <w:rPr>
      <w:sz w:val="20"/>
      <w:szCs w:val="20"/>
    </w:rPr>
  </w:style>
  <w:style w:type="paragraph" w:styleId="BalloonText">
    <w:name w:val="Balloon Text"/>
    <w:basedOn w:val="Normal"/>
    <w:semiHidden/>
    <w:rsid w:val="005D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E355D8"/>
    <w:rPr>
      <w:b/>
      <w:bCs/>
    </w:rPr>
  </w:style>
  <w:style w:type="paragraph" w:styleId="Header">
    <w:name w:val="header"/>
    <w:basedOn w:val="Normal"/>
    <w:rsid w:val="0003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1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BF2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18"/>
      <w:szCs w:val="28"/>
    </w:rPr>
  </w:style>
  <w:style w:type="paragraph" w:styleId="DocumentMap">
    <w:name w:val="Document Map"/>
    <w:basedOn w:val="Normal"/>
    <w:semiHidden/>
    <w:rsid w:val="00B77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0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F8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73655"/>
    <w:rPr>
      <w:rFonts w:ascii="Arial" w:eastAsia="Calibr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60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4C4D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B2E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D4C4D"/>
    <w:rPr>
      <w:sz w:val="16"/>
      <w:szCs w:val="16"/>
    </w:rPr>
  </w:style>
  <w:style w:type="paragraph" w:styleId="CommentText">
    <w:name w:val="annotation text"/>
    <w:basedOn w:val="Normal"/>
    <w:semiHidden/>
    <w:rsid w:val="005D4C4D"/>
    <w:rPr>
      <w:sz w:val="20"/>
      <w:szCs w:val="20"/>
    </w:rPr>
  </w:style>
  <w:style w:type="paragraph" w:styleId="BalloonText">
    <w:name w:val="Balloon Text"/>
    <w:basedOn w:val="Normal"/>
    <w:semiHidden/>
    <w:rsid w:val="005D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E355D8"/>
    <w:rPr>
      <w:b/>
      <w:bCs/>
    </w:rPr>
  </w:style>
  <w:style w:type="paragraph" w:styleId="Header">
    <w:name w:val="header"/>
    <w:basedOn w:val="Normal"/>
    <w:rsid w:val="0003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1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BF2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18"/>
      <w:szCs w:val="28"/>
    </w:rPr>
  </w:style>
  <w:style w:type="paragraph" w:styleId="DocumentMap">
    <w:name w:val="Document Map"/>
    <w:basedOn w:val="Normal"/>
    <w:semiHidden/>
    <w:rsid w:val="00B77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0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F8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73655"/>
    <w:rPr>
      <w:rFonts w:ascii="Arial" w:eastAsia="Calibr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A719-BA0C-4545-99B1-456390E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F3A0EA33</Template>
  <TotalTime>0</TotalTime>
  <Pages>5</Pages>
  <Words>1063</Words>
  <Characters>6065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OCC</Company>
  <LinksUpToDate>false</LinksUpToDate>
  <CharactersWithSpaces>7114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mailto:nkennedy@oxford.gov.uk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nkennedy</dc:creator>
  <cp:lastModifiedBy>anash</cp:lastModifiedBy>
  <cp:revision>2</cp:revision>
  <cp:lastPrinted>2016-05-20T10:31:00Z</cp:lastPrinted>
  <dcterms:created xsi:type="dcterms:W3CDTF">2016-05-26T10:58:00Z</dcterms:created>
  <dcterms:modified xsi:type="dcterms:W3CDTF">2016-05-26T10:58:00Z</dcterms:modified>
</cp:coreProperties>
</file>